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hAnsi="方正小标宋简体" w:eastAsia="方正小标宋简体"/>
          <w:sz w:val="52"/>
          <w:szCs w:val="52"/>
        </w:rPr>
      </w:pPr>
    </w:p>
    <w:p>
      <w:pPr>
        <w:jc w:val="center"/>
        <w:rPr>
          <w:rFonts w:eastAsia="黑体"/>
          <w:szCs w:val="32"/>
        </w:rPr>
      </w:pPr>
      <w:r>
        <w:rPr>
          <w:rFonts w:hint="eastAsia" w:eastAsia="黑体"/>
          <w:szCs w:val="32"/>
        </w:rPr>
        <w:drawing>
          <wp:inline distT="0" distB="0" distL="114300" distR="114300">
            <wp:extent cx="5603875" cy="7882255"/>
            <wp:effectExtent l="0" t="0" r="15875" b="4445"/>
            <wp:docPr id="1" name="图片 1" descr="微信图片_202507250845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50725084532"/>
                    <pic:cNvPicPr>
                      <a:picLocks noChangeAspect="true"/>
                    </pic:cNvPicPr>
                  </pic:nvPicPr>
                  <pic:blipFill>
                    <a:blip r:embed="rId6" cstate="print"/>
                    <a:stretch>
                      <a:fillRect/>
                    </a:stretch>
                  </pic:blipFill>
                  <pic:spPr>
                    <a:xfrm>
                      <a:off x="0" y="0"/>
                      <a:ext cx="5603875" cy="7882255"/>
                    </a:xfrm>
                    <a:prstGeom prst="rect">
                      <a:avLst/>
                    </a:prstGeom>
                  </pic:spPr>
                </pic:pic>
              </a:graphicData>
            </a:graphic>
          </wp:inline>
        </w:drawing>
      </w:r>
    </w:p>
    <w:p>
      <w:pPr>
        <w:spacing w:line="580" w:lineRule="exact"/>
        <w:jc w:val="center"/>
        <w:rPr>
          <w:rFonts w:ascii="Times New Roman" w:hAnsi="Times New Roman" w:eastAsia="方正小标宋简体"/>
          <w:sz w:val="44"/>
          <w:szCs w:val="44"/>
        </w:rPr>
        <w:sectPr>
          <w:footerReference r:id="rId3" w:type="default"/>
          <w:pgSz w:w="11906" w:h="16838"/>
          <w:pgMar w:top="1701" w:right="1531" w:bottom="1531" w:left="1531" w:header="851" w:footer="1134" w:gutter="0"/>
          <w:pgNumType w:fmt="numberInDash" w:start="1"/>
          <w:cols w:space="425" w:num="1"/>
          <w:docGrid w:type="lines" w:linePitch="312" w:charSpace="0"/>
        </w:sect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hAnsi="Times New Roman" w:eastAsia="方正小标宋简体"/>
          <w:sz w:val="44"/>
          <w:szCs w:val="44"/>
        </w:rPr>
        <w:t xml:space="preserve">年度共青团益阳市委部门整体支出  </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绩效自评报告</w:t>
      </w:r>
    </w:p>
    <w:p>
      <w:pPr>
        <w:pStyle w:val="2"/>
        <w:spacing w:line="580" w:lineRule="exact"/>
        <w:rPr>
          <w:rFonts w:ascii="Times New Roman" w:hAnsi="Times New Roman" w:eastAsia="方正小标宋简体"/>
          <w:sz w:val="44"/>
          <w:szCs w:val="44"/>
        </w:rPr>
      </w:pPr>
    </w:p>
    <w:p>
      <w:pPr>
        <w:spacing w:line="580" w:lineRule="exact"/>
        <w:ind w:firstLine="640" w:firstLineChars="200"/>
        <w:rPr>
          <w:rFonts w:ascii="Times New Roman" w:hAnsi="Times New Roman" w:eastAsia="仿宋"/>
          <w:color w:val="000000"/>
          <w:szCs w:val="32"/>
        </w:rPr>
      </w:pPr>
      <w:r>
        <w:rPr>
          <w:rFonts w:hint="eastAsia" w:ascii="Times New Roman" w:hAnsi="仿宋" w:eastAsia="仿宋"/>
          <w:color w:val="000000"/>
          <w:szCs w:val="32"/>
        </w:rPr>
        <w:t>根据《中共中央 国务院关于全面实施预算绩效管理的意见》（中发〔2018〕34号）、《益阳市预算支出绩效评价管理办法》（益财绩〔2022〕405号）</w:t>
      </w:r>
      <w:r>
        <w:rPr>
          <w:rFonts w:ascii="Times New Roman" w:hAnsi="仿宋" w:eastAsia="仿宋"/>
          <w:color w:val="000000"/>
          <w:szCs w:val="32"/>
        </w:rPr>
        <w:t>和《益阳市财政局关于开展</w:t>
      </w:r>
      <w:r>
        <w:rPr>
          <w:rFonts w:ascii="Times New Roman" w:hAnsi="Times New Roman" w:eastAsia="仿宋"/>
          <w:color w:val="000000"/>
          <w:szCs w:val="32"/>
        </w:rPr>
        <w:t>202</w:t>
      </w:r>
      <w:r>
        <w:rPr>
          <w:rFonts w:hint="eastAsia" w:ascii="Times New Roman" w:hAnsi="Times New Roman" w:eastAsia="仿宋"/>
          <w:color w:val="000000"/>
          <w:szCs w:val="32"/>
        </w:rPr>
        <w:t>4</w:t>
      </w:r>
      <w:r>
        <w:rPr>
          <w:rFonts w:ascii="Times New Roman" w:hAnsi="仿宋" w:eastAsia="仿宋"/>
          <w:color w:val="000000"/>
          <w:szCs w:val="32"/>
        </w:rPr>
        <w:t>年度部门绩效自评工作的通知》</w:t>
      </w:r>
      <w:r>
        <w:rPr>
          <w:rFonts w:hint="eastAsia" w:ascii="Times New Roman" w:hAnsi="仿宋" w:eastAsia="仿宋"/>
          <w:color w:val="000000"/>
          <w:szCs w:val="32"/>
        </w:rPr>
        <w:t>等文件规定</w:t>
      </w:r>
      <w:r>
        <w:rPr>
          <w:rFonts w:ascii="Times New Roman" w:hAnsi="仿宋" w:eastAsia="仿宋"/>
          <w:color w:val="000000"/>
          <w:szCs w:val="32"/>
        </w:rPr>
        <w:t>精神，为进一步规范财政资金管理，强化绩效和责任意识，切实提高财政资金使用绩效，共青团益阳市委采取调查分析相关文件和部门预决算报表、数据核查、询问查证、资产清查等形式，通过归纳总结，作出了</w:t>
      </w:r>
      <w:r>
        <w:rPr>
          <w:rFonts w:ascii="Times New Roman" w:hAnsi="Times New Roman" w:eastAsia="仿宋"/>
          <w:color w:val="000000"/>
          <w:szCs w:val="32"/>
        </w:rPr>
        <w:t>202</w:t>
      </w:r>
      <w:r>
        <w:rPr>
          <w:rFonts w:hint="eastAsia" w:ascii="Times New Roman" w:hAnsi="Times New Roman" w:eastAsia="仿宋"/>
          <w:color w:val="000000"/>
          <w:szCs w:val="32"/>
        </w:rPr>
        <w:t>4</w:t>
      </w:r>
      <w:r>
        <w:rPr>
          <w:rFonts w:ascii="Times New Roman" w:hAnsi="仿宋" w:eastAsia="仿宋"/>
          <w:color w:val="000000"/>
          <w:szCs w:val="32"/>
        </w:rPr>
        <w:t>年度部门整体支出绩效自评报告如下：</w:t>
      </w:r>
    </w:p>
    <w:p>
      <w:pPr>
        <w:spacing w:line="580" w:lineRule="exact"/>
        <w:ind w:firstLine="640" w:firstLineChars="200"/>
        <w:rPr>
          <w:rFonts w:ascii="Times New Roman" w:hAnsi="Times New Roman" w:eastAsia="黑体"/>
          <w:color w:val="000000"/>
          <w:szCs w:val="32"/>
        </w:rPr>
      </w:pPr>
      <w:r>
        <w:rPr>
          <w:rFonts w:ascii="Times New Roman" w:hAnsi="Times New Roman" w:eastAsia="黑体"/>
          <w:color w:val="000000"/>
          <w:szCs w:val="32"/>
        </w:rPr>
        <w:t>一、部门基本情况</w:t>
      </w:r>
    </w:p>
    <w:p>
      <w:pPr>
        <w:spacing w:line="580" w:lineRule="exact"/>
        <w:ind w:firstLine="640" w:firstLineChars="200"/>
        <w:rPr>
          <w:rFonts w:ascii="Times New Roman" w:hAnsi="Times New Roman" w:eastAsia="仿宋"/>
          <w:color w:val="000000"/>
          <w:szCs w:val="32"/>
        </w:rPr>
      </w:pPr>
      <w:r>
        <w:rPr>
          <w:rFonts w:ascii="Times New Roman" w:hAnsi="仿宋" w:eastAsia="仿宋"/>
          <w:color w:val="000000"/>
          <w:szCs w:val="32"/>
        </w:rPr>
        <w:t>共青团益阳市委领导全市共青团工作，组织全市共青团组织围绕改革、发展、稳定的大局开展工作，在政治、经济、文化等活动中发挥党的助手作用。内设办公室、组织宣传部、学校少年部（权益部）、青年发展部（社会联络部）四个正科级部门，市青少年文化网络发展中心一个正科级事业单位。</w:t>
      </w:r>
      <w:r>
        <w:rPr>
          <w:rFonts w:ascii="Times New Roman" w:hAnsi="Times New Roman" w:eastAsia="仿宋"/>
          <w:color w:val="000000"/>
          <w:szCs w:val="32"/>
        </w:rPr>
        <w:t>202</w:t>
      </w:r>
      <w:r>
        <w:rPr>
          <w:rFonts w:hint="eastAsia" w:ascii="Times New Roman" w:hAnsi="Times New Roman" w:eastAsia="仿宋"/>
          <w:color w:val="000000"/>
          <w:szCs w:val="32"/>
        </w:rPr>
        <w:t>4</w:t>
      </w:r>
      <w:r>
        <w:rPr>
          <w:rFonts w:ascii="Times New Roman" w:hAnsi="仿宋" w:eastAsia="仿宋"/>
          <w:color w:val="000000"/>
          <w:szCs w:val="32"/>
        </w:rPr>
        <w:t>年共有编制数</w:t>
      </w:r>
      <w:r>
        <w:rPr>
          <w:rFonts w:ascii="Times New Roman" w:hAnsi="Times New Roman" w:eastAsia="仿宋"/>
          <w:color w:val="000000"/>
          <w:szCs w:val="32"/>
        </w:rPr>
        <w:t>13</w:t>
      </w:r>
      <w:r>
        <w:rPr>
          <w:rFonts w:ascii="Times New Roman" w:hAnsi="仿宋" w:eastAsia="仿宋"/>
          <w:color w:val="000000"/>
          <w:szCs w:val="32"/>
        </w:rPr>
        <w:t>名（行政编</w:t>
      </w:r>
      <w:r>
        <w:rPr>
          <w:rFonts w:ascii="Times New Roman" w:hAnsi="Times New Roman" w:eastAsia="仿宋"/>
          <w:color w:val="000000"/>
          <w:szCs w:val="32"/>
        </w:rPr>
        <w:t>10</w:t>
      </w:r>
      <w:r>
        <w:rPr>
          <w:rFonts w:ascii="Times New Roman" w:hAnsi="仿宋" w:eastAsia="仿宋"/>
          <w:color w:val="000000"/>
          <w:szCs w:val="32"/>
        </w:rPr>
        <w:t>名，全额拨款事业编</w:t>
      </w:r>
      <w:r>
        <w:rPr>
          <w:rFonts w:ascii="Times New Roman" w:hAnsi="Times New Roman" w:eastAsia="仿宋"/>
          <w:color w:val="000000"/>
          <w:szCs w:val="32"/>
        </w:rPr>
        <w:t>3</w:t>
      </w:r>
      <w:r>
        <w:rPr>
          <w:rFonts w:ascii="Times New Roman" w:hAnsi="仿宋" w:eastAsia="仿宋"/>
          <w:color w:val="000000"/>
          <w:szCs w:val="32"/>
        </w:rPr>
        <w:t>名），在编人员</w:t>
      </w:r>
      <w:r>
        <w:rPr>
          <w:rFonts w:ascii="Times New Roman" w:hAnsi="Times New Roman" w:eastAsia="仿宋"/>
          <w:color w:val="000000"/>
          <w:szCs w:val="32"/>
        </w:rPr>
        <w:t>1</w:t>
      </w:r>
      <w:r>
        <w:rPr>
          <w:rFonts w:hint="eastAsia" w:ascii="Times New Roman" w:hAnsi="Times New Roman" w:eastAsia="仿宋"/>
          <w:color w:val="000000"/>
          <w:szCs w:val="32"/>
        </w:rPr>
        <w:t>3</w:t>
      </w:r>
      <w:r>
        <w:rPr>
          <w:rFonts w:ascii="Times New Roman" w:hAnsi="仿宋" w:eastAsia="仿宋"/>
          <w:color w:val="000000"/>
          <w:szCs w:val="32"/>
        </w:rPr>
        <w:t>人（行政编</w:t>
      </w:r>
      <w:r>
        <w:rPr>
          <w:rFonts w:hint="eastAsia" w:ascii="Times New Roman" w:hAnsi="Times New Roman" w:eastAsia="仿宋"/>
          <w:color w:val="000000"/>
          <w:szCs w:val="32"/>
        </w:rPr>
        <w:t>10</w:t>
      </w:r>
      <w:r>
        <w:rPr>
          <w:rFonts w:ascii="Times New Roman" w:hAnsi="仿宋" w:eastAsia="仿宋"/>
          <w:color w:val="000000"/>
          <w:szCs w:val="32"/>
        </w:rPr>
        <w:t>人，全额拨款事业编</w:t>
      </w:r>
      <w:r>
        <w:rPr>
          <w:rFonts w:ascii="Times New Roman" w:hAnsi="Times New Roman" w:eastAsia="仿宋"/>
          <w:color w:val="000000"/>
          <w:szCs w:val="32"/>
        </w:rPr>
        <w:t>3</w:t>
      </w:r>
      <w:r>
        <w:rPr>
          <w:rFonts w:ascii="Times New Roman" w:hAnsi="仿宋" w:eastAsia="仿宋"/>
          <w:color w:val="000000"/>
          <w:szCs w:val="32"/>
        </w:rPr>
        <w:t>人）。</w:t>
      </w:r>
    </w:p>
    <w:p>
      <w:pPr>
        <w:pStyle w:val="2"/>
        <w:tabs>
          <w:tab w:val="left" w:pos="6188"/>
        </w:tabs>
        <w:spacing w:line="580" w:lineRule="exact"/>
        <w:ind w:firstLine="640" w:firstLineChars="200"/>
        <w:rPr>
          <w:rFonts w:ascii="Times New Roman" w:hAnsi="Times New Roman" w:eastAsia="黑体"/>
          <w:szCs w:val="32"/>
        </w:rPr>
      </w:pPr>
      <w:r>
        <w:rPr>
          <w:rFonts w:ascii="Times New Roman" w:hAnsi="Times New Roman" w:eastAsia="黑体"/>
          <w:color w:val="000000"/>
          <w:szCs w:val="32"/>
        </w:rPr>
        <w:t>二、一般公共预算支出情况</w:t>
      </w:r>
      <w:r>
        <w:rPr>
          <w:rFonts w:ascii="Times New Roman" w:hAnsi="Times New Roman" w:eastAsia="黑体"/>
          <w:color w:val="000000"/>
          <w:szCs w:val="32"/>
        </w:rPr>
        <w:tab/>
      </w:r>
    </w:p>
    <w:p>
      <w:pPr>
        <w:spacing w:line="580" w:lineRule="exact"/>
        <w:ind w:firstLine="640" w:firstLineChars="200"/>
        <w:rPr>
          <w:rFonts w:ascii="Times New Roman" w:hAnsi="Times New Roman" w:eastAsia="方正仿宋简体"/>
          <w:color w:val="000000"/>
          <w:szCs w:val="32"/>
        </w:rPr>
      </w:pPr>
      <w:r>
        <w:rPr>
          <w:rFonts w:hint="eastAsia" w:ascii="Times New Roman" w:hAnsi="Times New Roman" w:eastAsia="仿宋"/>
          <w:color w:val="000000"/>
          <w:szCs w:val="32"/>
        </w:rPr>
        <w:t>2024</w:t>
      </w:r>
      <w:r>
        <w:rPr>
          <w:rFonts w:ascii="Times New Roman" w:hAnsi="仿宋" w:eastAsia="仿宋"/>
          <w:color w:val="000000"/>
          <w:szCs w:val="32"/>
        </w:rPr>
        <w:t>年度一般公共预算财政拨款支出</w:t>
      </w:r>
      <w:r>
        <w:rPr>
          <w:rFonts w:hint="eastAsia" w:ascii="Times New Roman" w:hAnsi="Times New Roman" w:eastAsia="仿宋"/>
          <w:color w:val="000000"/>
          <w:szCs w:val="32"/>
        </w:rPr>
        <w:t>439.99</w:t>
      </w:r>
      <w:r>
        <w:rPr>
          <w:rFonts w:ascii="Times New Roman" w:hAnsi="仿宋" w:eastAsia="仿宋"/>
          <w:color w:val="000000"/>
          <w:szCs w:val="32"/>
        </w:rPr>
        <w:t>万元，其中基本支出</w:t>
      </w:r>
      <w:r>
        <w:rPr>
          <w:rFonts w:hint="eastAsia" w:ascii="Times New Roman" w:hAnsi="Times New Roman" w:eastAsia="仿宋"/>
          <w:color w:val="000000"/>
          <w:szCs w:val="32"/>
        </w:rPr>
        <w:t>246.67</w:t>
      </w:r>
      <w:r>
        <w:rPr>
          <w:rFonts w:ascii="Times New Roman" w:hAnsi="仿宋" w:eastAsia="仿宋"/>
          <w:color w:val="000000"/>
          <w:szCs w:val="32"/>
        </w:rPr>
        <w:t>万元，占</w:t>
      </w:r>
      <w:r>
        <w:rPr>
          <w:rFonts w:hint="eastAsia" w:ascii="Times New Roman" w:hAnsi="Times New Roman" w:eastAsia="仿宋"/>
          <w:color w:val="000000"/>
          <w:szCs w:val="32"/>
        </w:rPr>
        <w:t>56.06</w:t>
      </w:r>
      <w:r>
        <w:rPr>
          <w:rFonts w:ascii="Times New Roman" w:hAnsi="Times New Roman" w:eastAsia="仿宋"/>
          <w:color w:val="000000"/>
          <w:szCs w:val="32"/>
        </w:rPr>
        <w:t>%</w:t>
      </w:r>
      <w:r>
        <w:rPr>
          <w:rFonts w:ascii="Times New Roman" w:hAnsi="仿宋" w:eastAsia="仿宋"/>
          <w:color w:val="000000"/>
          <w:szCs w:val="32"/>
        </w:rPr>
        <w:t>；包括人员经费</w:t>
      </w:r>
      <w:r>
        <w:rPr>
          <w:rFonts w:hint="eastAsia" w:ascii="Times New Roman" w:hAnsi="Times New Roman" w:eastAsia="仿宋"/>
          <w:color w:val="000000"/>
          <w:szCs w:val="32"/>
        </w:rPr>
        <w:t>182.97</w:t>
      </w:r>
      <w:r>
        <w:rPr>
          <w:rFonts w:ascii="Times New Roman" w:hAnsi="仿宋" w:eastAsia="仿宋"/>
          <w:color w:val="000000"/>
          <w:szCs w:val="32"/>
        </w:rPr>
        <w:t>万元，公用经费</w:t>
      </w:r>
      <w:r>
        <w:rPr>
          <w:rFonts w:hint="eastAsia" w:ascii="Times New Roman" w:hAnsi="Times New Roman" w:eastAsia="仿宋"/>
          <w:color w:val="000000"/>
          <w:szCs w:val="32"/>
        </w:rPr>
        <w:t>63.7</w:t>
      </w:r>
      <w:r>
        <w:rPr>
          <w:rFonts w:ascii="Times New Roman" w:hAnsi="仿宋" w:eastAsia="仿宋"/>
          <w:color w:val="000000"/>
          <w:szCs w:val="32"/>
        </w:rPr>
        <w:t>万元；项目支出</w:t>
      </w:r>
      <w:r>
        <w:rPr>
          <w:rFonts w:hint="eastAsia" w:ascii="Times New Roman" w:hAnsi="Times New Roman" w:eastAsia="仿宋"/>
          <w:color w:val="000000"/>
          <w:szCs w:val="32"/>
        </w:rPr>
        <w:t>193.32</w:t>
      </w:r>
      <w:r>
        <w:rPr>
          <w:rFonts w:ascii="Times New Roman" w:hAnsi="仿宋" w:eastAsia="仿宋"/>
          <w:color w:val="000000"/>
          <w:szCs w:val="32"/>
        </w:rPr>
        <w:t>万元，占</w:t>
      </w:r>
      <w:r>
        <w:rPr>
          <w:rFonts w:hint="eastAsia" w:ascii="Times New Roman" w:hAnsi="Times New Roman" w:eastAsia="仿宋"/>
          <w:color w:val="000000"/>
          <w:szCs w:val="32"/>
        </w:rPr>
        <w:t>43.94</w:t>
      </w:r>
      <w:r>
        <w:rPr>
          <w:rFonts w:ascii="Times New Roman" w:hAnsi="Times New Roman" w:eastAsia="仿宋"/>
          <w:color w:val="000000"/>
          <w:szCs w:val="32"/>
        </w:rPr>
        <w:t>%</w:t>
      </w:r>
      <w:r>
        <w:rPr>
          <w:rFonts w:ascii="Times New Roman" w:hAnsi="Times New Roman" w:eastAsia="方正仿宋简体"/>
          <w:color w:val="000000"/>
          <w:szCs w:val="32"/>
        </w:rPr>
        <w:t>。</w:t>
      </w:r>
    </w:p>
    <w:p>
      <w:pPr>
        <w:spacing w:line="580" w:lineRule="exact"/>
        <w:ind w:firstLine="640" w:firstLineChars="200"/>
        <w:rPr>
          <w:rFonts w:ascii="楷体_GB2312" w:hAnsi="仿宋" w:eastAsia="楷体_GB2312"/>
          <w:color w:val="000000"/>
          <w:szCs w:val="32"/>
        </w:rPr>
      </w:pPr>
      <w:r>
        <w:rPr>
          <w:rFonts w:hint="eastAsia" w:ascii="楷体_GB2312" w:hAnsi="仿宋" w:eastAsia="楷体_GB2312"/>
          <w:color w:val="000000"/>
          <w:szCs w:val="32"/>
        </w:rPr>
        <w:t>（一）</w:t>
      </w:r>
      <w:r>
        <w:rPr>
          <w:rFonts w:ascii="楷体_GB2312" w:hAnsi="仿宋" w:eastAsia="楷体_GB2312"/>
          <w:color w:val="000000"/>
          <w:szCs w:val="32"/>
        </w:rPr>
        <w:t>基本支出情况</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2024年本部门基本支出预算211.27万元，主要是为保障部门正常运转、完成日常工作任务而发生的各项支出，包括用于基本工资、津贴补贴等人员经费以及办公费、印刷费、水电费、办公设备购置等公用经费。</w:t>
      </w:r>
    </w:p>
    <w:p>
      <w:pPr>
        <w:spacing w:line="580" w:lineRule="exact"/>
        <w:ind w:firstLine="640" w:firstLineChars="200"/>
        <w:rPr>
          <w:rFonts w:ascii="楷体_GB2312" w:hAnsi="仿宋" w:eastAsia="楷体_GB2312"/>
          <w:color w:val="000000"/>
          <w:szCs w:val="32"/>
        </w:rPr>
      </w:pPr>
      <w:r>
        <w:rPr>
          <w:rFonts w:hint="eastAsia" w:ascii="楷体_GB2312" w:hAnsi="仿宋" w:eastAsia="楷体_GB2312"/>
          <w:color w:val="000000"/>
          <w:szCs w:val="32"/>
        </w:rPr>
        <w:t>（二）</w:t>
      </w:r>
      <w:r>
        <w:rPr>
          <w:rFonts w:ascii="楷体_GB2312" w:hAnsi="仿宋" w:eastAsia="楷体_GB2312"/>
          <w:color w:val="000000"/>
          <w:szCs w:val="32"/>
        </w:rPr>
        <w:t>项目支出情况</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2024年本部门项目支出预算16.49万元，主要是部门为完成特定行政工作任务或事业发展目标而发生的支出，包括有关事业发展专项、专项业务费、基本建设支出等。其中：一般行政管理事务支出16.49万元，主要用于各部门的公用经费，包括办公及印刷费、邮电费、差旅费、会议费、福利费、日常维修费、专用资料及一般设备购置费、办公用房水电费、办公用房取暖费、办公用房物业管理费等方面。</w:t>
      </w:r>
    </w:p>
    <w:p>
      <w:pPr>
        <w:pStyle w:val="2"/>
        <w:numPr>
          <w:ilvl w:val="0"/>
          <w:numId w:val="1"/>
        </w:numPr>
        <w:tabs>
          <w:tab w:val="left" w:pos="1407"/>
        </w:tabs>
        <w:spacing w:line="580" w:lineRule="exact"/>
        <w:ind w:firstLine="640" w:firstLineChars="200"/>
        <w:rPr>
          <w:rFonts w:ascii="Times New Roman" w:hAnsi="Times New Roman" w:eastAsia="黑体"/>
          <w:color w:val="000000"/>
          <w:szCs w:val="32"/>
        </w:rPr>
      </w:pPr>
      <w:r>
        <w:rPr>
          <w:rFonts w:ascii="Times New Roman" w:hAnsi="Times New Roman" w:eastAsia="黑体"/>
          <w:color w:val="000000"/>
          <w:szCs w:val="32"/>
        </w:rPr>
        <w:tab/>
      </w:r>
      <w:r>
        <w:rPr>
          <w:rFonts w:ascii="Times New Roman" w:hAnsi="黑体" w:eastAsia="黑体"/>
          <w:color w:val="000000"/>
          <w:szCs w:val="32"/>
        </w:rPr>
        <w:t>政府性基金预算支出情况</w:t>
      </w:r>
    </w:p>
    <w:p>
      <w:pPr>
        <w:tabs>
          <w:tab w:val="left" w:pos="1950"/>
        </w:tabs>
        <w:spacing w:line="580" w:lineRule="exact"/>
        <w:rPr>
          <w:rFonts w:ascii="Times New Roman" w:hAnsi="Times New Roman" w:eastAsia="仿宋"/>
          <w:color w:val="000000"/>
          <w:szCs w:val="32"/>
        </w:rPr>
      </w:pPr>
      <w:r>
        <w:rPr>
          <w:rFonts w:ascii="Times New Roman" w:hAnsi="Times New Roman" w:eastAsia="方正小标宋简体"/>
          <w:color w:val="000000"/>
          <w:szCs w:val="32"/>
        </w:rPr>
        <w:t xml:space="preserve">    </w:t>
      </w:r>
      <w:r>
        <w:rPr>
          <w:rFonts w:ascii="Times New Roman" w:hAnsi="仿宋" w:eastAsia="仿宋"/>
          <w:color w:val="000000"/>
          <w:szCs w:val="32"/>
        </w:rPr>
        <w:t>无</w:t>
      </w:r>
    </w:p>
    <w:p>
      <w:pPr>
        <w:pStyle w:val="2"/>
        <w:numPr>
          <w:ilvl w:val="0"/>
          <w:numId w:val="1"/>
        </w:numPr>
        <w:tabs>
          <w:tab w:val="left" w:pos="1407"/>
          <w:tab w:val="left" w:pos="6626"/>
        </w:tabs>
        <w:spacing w:line="580" w:lineRule="exact"/>
        <w:ind w:firstLine="640" w:firstLineChars="200"/>
        <w:rPr>
          <w:rFonts w:ascii="Times New Roman" w:hAnsi="Times New Roman" w:eastAsia="方正小标宋简体"/>
          <w:color w:val="000000"/>
          <w:szCs w:val="32"/>
        </w:rPr>
      </w:pPr>
      <w:r>
        <w:rPr>
          <w:rFonts w:ascii="Times New Roman" w:hAnsi="黑体" w:eastAsia="黑体"/>
          <w:color w:val="000000"/>
          <w:szCs w:val="32"/>
        </w:rPr>
        <w:t>国有资本经营预算支出情况</w:t>
      </w:r>
      <w:r>
        <w:rPr>
          <w:rFonts w:ascii="Times New Roman" w:hAnsi="Times New Roman" w:eastAsia="方正小标宋简体"/>
          <w:color w:val="000000"/>
          <w:szCs w:val="32"/>
        </w:rPr>
        <w:tab/>
      </w:r>
    </w:p>
    <w:p>
      <w:pPr>
        <w:spacing w:line="580" w:lineRule="exact"/>
        <w:rPr>
          <w:rFonts w:ascii="Times New Roman" w:hAnsi="Times New Roman" w:eastAsia="仿宋"/>
          <w:color w:val="000000"/>
          <w:szCs w:val="32"/>
        </w:rPr>
      </w:pPr>
      <w:r>
        <w:rPr>
          <w:rFonts w:ascii="Times New Roman" w:hAnsi="Times New Roman" w:eastAsia="方正小标宋简体"/>
          <w:color w:val="000000"/>
          <w:szCs w:val="32"/>
        </w:rPr>
        <w:t xml:space="preserve">    </w:t>
      </w:r>
      <w:r>
        <w:rPr>
          <w:rFonts w:ascii="Times New Roman" w:hAnsi="仿宋" w:eastAsia="仿宋"/>
          <w:color w:val="000000"/>
          <w:szCs w:val="32"/>
        </w:rPr>
        <w:t>无</w:t>
      </w:r>
    </w:p>
    <w:p>
      <w:pPr>
        <w:pStyle w:val="2"/>
        <w:numPr>
          <w:ilvl w:val="0"/>
          <w:numId w:val="1"/>
        </w:numPr>
        <w:tabs>
          <w:tab w:val="left" w:pos="1407"/>
          <w:tab w:val="left" w:pos="6626"/>
        </w:tabs>
        <w:spacing w:line="580" w:lineRule="exact"/>
        <w:ind w:firstLine="640" w:firstLineChars="200"/>
        <w:rPr>
          <w:rFonts w:ascii="Times New Roman" w:hAnsi="Times New Roman" w:eastAsia="黑体"/>
          <w:color w:val="000000"/>
          <w:szCs w:val="32"/>
        </w:rPr>
      </w:pPr>
      <w:r>
        <w:rPr>
          <w:rFonts w:ascii="Times New Roman" w:hAnsi="黑体" w:eastAsia="黑体"/>
          <w:color w:val="000000"/>
          <w:szCs w:val="32"/>
        </w:rPr>
        <w:t>社会保险基金预算支出情况</w:t>
      </w:r>
    </w:p>
    <w:p>
      <w:pPr>
        <w:tabs>
          <w:tab w:val="left" w:pos="694"/>
        </w:tabs>
        <w:spacing w:line="580" w:lineRule="exact"/>
        <w:rPr>
          <w:rFonts w:ascii="Times New Roman" w:hAnsi="Times New Roman"/>
          <w:szCs w:val="32"/>
        </w:rPr>
      </w:pPr>
      <w:r>
        <w:rPr>
          <w:rFonts w:ascii="Times New Roman" w:hAnsi="Times New Roman"/>
          <w:szCs w:val="32"/>
        </w:rPr>
        <w:tab/>
      </w:r>
      <w:r>
        <w:rPr>
          <w:rFonts w:ascii="Times New Roman" w:hAnsi="仿宋" w:eastAsia="仿宋"/>
          <w:color w:val="000000"/>
          <w:szCs w:val="32"/>
        </w:rPr>
        <w:t>无</w:t>
      </w:r>
    </w:p>
    <w:p>
      <w:pPr>
        <w:pStyle w:val="2"/>
        <w:numPr>
          <w:ilvl w:val="0"/>
          <w:numId w:val="1"/>
        </w:numPr>
        <w:tabs>
          <w:tab w:val="left" w:pos="1407"/>
          <w:tab w:val="left" w:pos="6626"/>
        </w:tabs>
        <w:spacing w:line="580" w:lineRule="exact"/>
        <w:ind w:firstLine="640" w:firstLineChars="200"/>
        <w:rPr>
          <w:rFonts w:ascii="Times New Roman" w:hAnsi="Times New Roman" w:eastAsia="黑体"/>
          <w:color w:val="000000"/>
          <w:szCs w:val="32"/>
        </w:rPr>
      </w:pPr>
      <w:r>
        <w:rPr>
          <w:rFonts w:ascii="Times New Roman" w:hAnsi="黑体" w:eastAsia="黑体"/>
          <w:color w:val="000000"/>
          <w:szCs w:val="32"/>
        </w:rPr>
        <w:t>部门整体支出的绩效情况</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w:t>
      </w:r>
      <w:r>
        <w:rPr>
          <w:rFonts w:hint="eastAsia" w:ascii="楷体_GB2312" w:hAnsi="仿宋" w:eastAsia="楷体_GB2312"/>
          <w:color w:val="000000"/>
          <w:szCs w:val="32"/>
        </w:rPr>
        <w:t>一</w:t>
      </w:r>
      <w:r>
        <w:rPr>
          <w:rFonts w:ascii="楷体_GB2312" w:hAnsi="仿宋" w:eastAsia="楷体_GB2312"/>
          <w:color w:val="000000"/>
          <w:szCs w:val="32"/>
        </w:rPr>
        <w:t>）“三公”经费控制情况</w:t>
      </w:r>
      <w:r>
        <w:rPr>
          <w:rFonts w:ascii="楷体_GB2312" w:hAnsi="仿宋" w:eastAsia="楷体_GB2312"/>
          <w:color w:val="000000"/>
          <w:szCs w:val="32"/>
        </w:rPr>
        <w:tab/>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2024年本部门“三公”经费预算数为9.7万元，其中，公务接待费2.7万元，公务用车购置及运行费7万元（其中，公务用车购置费0万元，公务用车运行费7万元），因公出国（境）费0万元。2024年“三公”经费预算较2023年持平。主要原因是公务接待、公务用车购置运行、因公出国等三公相关预算2024年与2023年未发生变化。</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w:t>
      </w:r>
      <w:r>
        <w:rPr>
          <w:rFonts w:hint="eastAsia" w:ascii="楷体_GB2312" w:hAnsi="仿宋" w:eastAsia="楷体_GB2312"/>
          <w:color w:val="000000"/>
          <w:szCs w:val="32"/>
        </w:rPr>
        <w:t>二</w:t>
      </w:r>
      <w:r>
        <w:rPr>
          <w:rFonts w:ascii="楷体_GB2312" w:hAnsi="仿宋" w:eastAsia="楷体_GB2312"/>
          <w:color w:val="000000"/>
          <w:szCs w:val="32"/>
        </w:rPr>
        <w:t>）内部控制制度建设情况</w:t>
      </w:r>
      <w:r>
        <w:rPr>
          <w:rFonts w:ascii="楷体_GB2312" w:hAnsi="仿宋" w:eastAsia="楷体_GB2312"/>
          <w:color w:val="000000"/>
          <w:szCs w:val="32"/>
        </w:rPr>
        <w:tab/>
      </w:r>
    </w:p>
    <w:p>
      <w:pPr>
        <w:spacing w:line="580" w:lineRule="exact"/>
        <w:ind w:firstLine="640" w:firstLineChars="200"/>
        <w:rPr>
          <w:rFonts w:ascii="Times New Roman" w:hAnsi="Times New Roman" w:eastAsia="仿宋"/>
          <w:color w:val="000000"/>
          <w:szCs w:val="32"/>
        </w:rPr>
      </w:pPr>
      <w:r>
        <w:rPr>
          <w:rFonts w:hint="eastAsia" w:ascii="Times New Roman" w:hAnsi="Times New Roman" w:eastAsia="仿宋"/>
          <w:color w:val="000000"/>
          <w:szCs w:val="32"/>
        </w:rPr>
        <w:t>2024</w:t>
      </w:r>
      <w:r>
        <w:rPr>
          <w:rFonts w:ascii="Times New Roman" w:hAnsi="仿宋" w:eastAsia="仿宋"/>
          <w:color w:val="000000"/>
          <w:szCs w:val="32"/>
        </w:rPr>
        <w:t>年我们</w:t>
      </w:r>
      <w:r>
        <w:rPr>
          <w:rFonts w:hint="eastAsia" w:ascii="Times New Roman" w:hAnsi="仿宋" w:eastAsia="仿宋"/>
          <w:color w:val="000000"/>
          <w:szCs w:val="32"/>
        </w:rPr>
        <w:t>按照2023年</w:t>
      </w:r>
      <w:r>
        <w:rPr>
          <w:rFonts w:ascii="Times New Roman" w:hAnsi="仿宋" w:eastAsia="仿宋"/>
          <w:color w:val="000000"/>
          <w:szCs w:val="32"/>
        </w:rPr>
        <w:t>修改完善</w:t>
      </w:r>
      <w:r>
        <w:rPr>
          <w:rFonts w:hint="eastAsia" w:ascii="Times New Roman" w:hAnsi="仿宋" w:eastAsia="仿宋"/>
          <w:color w:val="000000"/>
          <w:szCs w:val="32"/>
        </w:rPr>
        <w:t>的</w:t>
      </w:r>
      <w:r>
        <w:rPr>
          <w:rFonts w:ascii="Times New Roman" w:hAnsi="仿宋" w:eastAsia="仿宋"/>
          <w:color w:val="000000"/>
          <w:szCs w:val="32"/>
        </w:rPr>
        <w:t>相关财务管理制度</w:t>
      </w:r>
      <w:r>
        <w:rPr>
          <w:rFonts w:hint="eastAsia" w:ascii="Times New Roman" w:hAnsi="仿宋" w:eastAsia="仿宋"/>
          <w:color w:val="000000"/>
          <w:szCs w:val="32"/>
        </w:rPr>
        <w:t>和</w:t>
      </w:r>
      <w:r>
        <w:rPr>
          <w:rFonts w:ascii="Times New Roman" w:hAnsi="仿宋" w:eastAsia="仿宋"/>
          <w:color w:val="000000"/>
          <w:szCs w:val="32"/>
        </w:rPr>
        <w:t>规定，成立了财务监督小组，加强内部控制和监督。对各项资金的管理、经费收支审批等均做了明确规定，正确组织资金的筹集、调度和使用，债权债务及时结算、结清。各项经费支出实行限额把关、一支笔审批制度。严格执行上级关于</w:t>
      </w:r>
      <w:r>
        <w:rPr>
          <w:rFonts w:ascii="Times New Roman" w:hAnsi="Times New Roman" w:eastAsia="仿宋"/>
          <w:color w:val="000000"/>
          <w:szCs w:val="32"/>
        </w:rPr>
        <w:t>“</w:t>
      </w:r>
      <w:r>
        <w:rPr>
          <w:rFonts w:ascii="Times New Roman" w:hAnsi="仿宋" w:eastAsia="仿宋"/>
          <w:color w:val="000000"/>
          <w:szCs w:val="32"/>
        </w:rPr>
        <w:t>一把手不直接分管财务</w:t>
      </w:r>
      <w:r>
        <w:rPr>
          <w:rFonts w:ascii="Times New Roman" w:hAnsi="Times New Roman" w:eastAsia="仿宋"/>
          <w:color w:val="000000"/>
          <w:szCs w:val="32"/>
        </w:rPr>
        <w:t>”</w:t>
      </w:r>
      <w:r>
        <w:rPr>
          <w:rFonts w:ascii="Times New Roman" w:hAnsi="仿宋" w:eastAsia="仿宋"/>
          <w:color w:val="000000"/>
          <w:szCs w:val="32"/>
        </w:rPr>
        <w:t>的规定，安排一名副职领导分管财务并一支笔签批财务单据。</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w:t>
      </w:r>
      <w:r>
        <w:rPr>
          <w:rFonts w:hint="eastAsia" w:ascii="楷体_GB2312" w:hAnsi="仿宋" w:eastAsia="楷体_GB2312"/>
          <w:color w:val="000000"/>
          <w:szCs w:val="32"/>
        </w:rPr>
        <w:t>三</w:t>
      </w:r>
      <w:r>
        <w:rPr>
          <w:rFonts w:ascii="楷体_GB2312" w:hAnsi="仿宋" w:eastAsia="楷体_GB2312"/>
          <w:color w:val="000000"/>
          <w:szCs w:val="32"/>
        </w:rPr>
        <w:t>）绩效评价情况</w:t>
      </w:r>
    </w:p>
    <w:p>
      <w:pPr>
        <w:spacing w:line="580" w:lineRule="exact"/>
        <w:ind w:firstLine="640" w:firstLineChars="200"/>
        <w:rPr>
          <w:rFonts w:ascii="Times New Roman" w:hAnsi="Times New Roman" w:eastAsia="仿宋"/>
          <w:color w:val="000000"/>
          <w:szCs w:val="32"/>
        </w:rPr>
      </w:pPr>
      <w:r>
        <w:rPr>
          <w:rFonts w:ascii="Times New Roman" w:hAnsi="Times New Roman" w:eastAsia="仿宋"/>
          <w:color w:val="000000"/>
          <w:szCs w:val="32"/>
        </w:rPr>
        <w:t>1</w:t>
      </w:r>
      <w:r>
        <w:rPr>
          <w:rFonts w:hint="eastAsia" w:ascii="Times New Roman" w:hAnsi="仿宋" w:eastAsia="仿宋"/>
          <w:color w:val="000000"/>
          <w:szCs w:val="32"/>
        </w:rPr>
        <w:t>.</w:t>
      </w:r>
      <w:r>
        <w:rPr>
          <w:rFonts w:ascii="Times New Roman" w:hAnsi="仿宋" w:eastAsia="仿宋"/>
          <w:color w:val="000000"/>
          <w:szCs w:val="32"/>
        </w:rPr>
        <w:t>绩效评价的目的</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共青团益阳市委的部门整体支出绩效评价，全面评价了</w:t>
      </w:r>
      <w:r>
        <w:rPr>
          <w:rFonts w:hint="eastAsia" w:ascii="Times New Roman" w:hAnsi="Times New Roman" w:eastAsia="仿宋"/>
          <w:color w:val="000000"/>
          <w:szCs w:val="32"/>
        </w:rPr>
        <w:t>2024</w:t>
      </w:r>
      <w:r>
        <w:rPr>
          <w:rFonts w:ascii="Times New Roman" w:hAnsi="仿宋" w:eastAsia="仿宋"/>
          <w:color w:val="000000"/>
          <w:szCs w:val="32"/>
        </w:rPr>
        <w:t>年度单位在决策、费用管理和经费使用方面的绩效情况。总结工作成绩，发现存在的问题。通过评价，找出了经费支出管理和使用方面的不足，提高了认识，进一步增强共青团益阳市委在费用支出管理方面的责任。在下一年度的工作当中，共青团益阳市委将强化经济管理的创新意识，优化支出结构，提高资金的使用效果，为全市的共青团工作提供更好地服务。</w:t>
      </w:r>
    </w:p>
    <w:p>
      <w:pPr>
        <w:spacing w:line="580" w:lineRule="exact"/>
        <w:ind w:firstLine="640" w:firstLineChars="200"/>
        <w:rPr>
          <w:rFonts w:ascii="Times New Roman" w:hAnsi="仿宋" w:eastAsia="仿宋"/>
          <w:color w:val="000000"/>
          <w:szCs w:val="32"/>
        </w:rPr>
      </w:pPr>
      <w:r>
        <w:rPr>
          <w:rFonts w:hint="eastAsia" w:ascii="Times New Roman" w:hAnsi="仿宋" w:eastAsia="仿宋"/>
          <w:color w:val="000000"/>
          <w:szCs w:val="32"/>
        </w:rPr>
        <w:t>2.</w:t>
      </w:r>
      <w:r>
        <w:rPr>
          <w:rFonts w:ascii="Times New Roman" w:hAnsi="仿宋" w:eastAsia="仿宋"/>
          <w:color w:val="000000"/>
          <w:szCs w:val="32"/>
        </w:rPr>
        <w:t>绩效评价的过程</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根据《益阳市财政局关于开展</w:t>
      </w:r>
      <w:r>
        <w:rPr>
          <w:rFonts w:hint="eastAsia" w:ascii="Times New Roman" w:hAnsi="仿宋" w:eastAsia="仿宋"/>
          <w:color w:val="000000"/>
          <w:szCs w:val="32"/>
        </w:rPr>
        <w:t>2024</w:t>
      </w:r>
      <w:r>
        <w:rPr>
          <w:rFonts w:ascii="Times New Roman" w:hAnsi="仿宋" w:eastAsia="仿宋"/>
          <w:color w:val="000000"/>
          <w:szCs w:val="32"/>
        </w:rPr>
        <w:t>年度部门绩效自评工作的通知》精神，共青团益阳市委明确了工作任务、出台了工作方案。采取调查分析相关文件和部门预决算报表、数据核查、询问查证等形式进行自评。</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（1）核实数据。对</w:t>
      </w:r>
      <w:r>
        <w:rPr>
          <w:rFonts w:hint="eastAsia" w:ascii="Times New Roman" w:hAnsi="仿宋" w:eastAsia="仿宋"/>
          <w:color w:val="000000"/>
          <w:szCs w:val="32"/>
        </w:rPr>
        <w:t>2024</w:t>
      </w:r>
      <w:r>
        <w:rPr>
          <w:rFonts w:ascii="Times New Roman" w:hAnsi="仿宋" w:eastAsia="仿宋"/>
          <w:color w:val="000000"/>
          <w:szCs w:val="32"/>
        </w:rPr>
        <w:t>年度部门决算报表数据的准确性、真实性进行了认真核实。</w:t>
      </w:r>
    </w:p>
    <w:p>
      <w:pPr>
        <w:spacing w:line="580" w:lineRule="exact"/>
        <w:ind w:firstLine="640" w:firstLineChars="200"/>
        <w:rPr>
          <w:rFonts w:ascii="Times New Roman" w:hAnsi="仿宋" w:eastAsia="仿宋"/>
          <w:color w:val="000000"/>
          <w:szCs w:val="32"/>
        </w:rPr>
      </w:pPr>
      <w:r>
        <w:rPr>
          <w:rFonts w:ascii="Times New Roman" w:hAnsi="仿宋" w:eastAsia="仿宋"/>
          <w:color w:val="000000"/>
          <w:szCs w:val="32"/>
        </w:rPr>
        <w:t>（2）查阅资料。查阅了</w:t>
      </w:r>
      <w:r>
        <w:rPr>
          <w:rFonts w:hint="eastAsia" w:ascii="Times New Roman" w:hAnsi="仿宋" w:eastAsia="仿宋"/>
          <w:color w:val="000000"/>
          <w:szCs w:val="32"/>
        </w:rPr>
        <w:t>2024</w:t>
      </w:r>
      <w:r>
        <w:rPr>
          <w:rFonts w:ascii="Times New Roman" w:hAnsi="仿宋" w:eastAsia="仿宋"/>
          <w:color w:val="000000"/>
          <w:szCs w:val="32"/>
        </w:rPr>
        <w:t>年的预算安排、预算追加、</w:t>
      </w:r>
      <w:r>
        <w:rPr>
          <w:rFonts w:hint="eastAsia" w:ascii="Times New Roman" w:hAnsi="仿宋" w:eastAsia="仿宋"/>
          <w:color w:val="000000"/>
          <w:szCs w:val="32"/>
        </w:rPr>
        <w:t>相关活动开展情况</w:t>
      </w:r>
      <w:r>
        <w:rPr>
          <w:rFonts w:ascii="Times New Roman" w:hAnsi="仿宋" w:eastAsia="仿宋"/>
          <w:color w:val="000000"/>
          <w:szCs w:val="32"/>
        </w:rPr>
        <w:t>等资料。</w:t>
      </w:r>
    </w:p>
    <w:p>
      <w:pPr>
        <w:spacing w:line="580" w:lineRule="exact"/>
        <w:ind w:firstLine="640" w:firstLineChars="200"/>
        <w:rPr>
          <w:rFonts w:ascii="Times New Roman" w:hAnsi="Times New Roman" w:eastAsia="仿宋"/>
          <w:color w:val="000000"/>
          <w:szCs w:val="32"/>
        </w:rPr>
      </w:pPr>
      <w:r>
        <w:rPr>
          <w:rFonts w:ascii="Times New Roman" w:hAnsi="仿宋" w:eastAsia="仿宋"/>
          <w:color w:val="000000"/>
          <w:szCs w:val="32"/>
        </w:rPr>
        <w:t>（</w:t>
      </w:r>
      <w:r>
        <w:rPr>
          <w:rFonts w:hint="eastAsia" w:ascii="Times New Roman" w:hAnsi="Times New Roman" w:eastAsia="仿宋"/>
          <w:color w:val="000000"/>
          <w:szCs w:val="32"/>
        </w:rPr>
        <w:t>3</w:t>
      </w:r>
      <w:r>
        <w:rPr>
          <w:rFonts w:ascii="Times New Roman" w:hAnsi="仿宋" w:eastAsia="仿宋"/>
          <w:color w:val="000000"/>
          <w:szCs w:val="32"/>
        </w:rPr>
        <w:t>）归纳汇总。对搜集的资料进行全面综合分析整理，发现部门整体支出中资金管理工作的成绩和不足，针对发现的问题寻找解决的方法，制定相应的管理制度，建立费用支出管理的长效机制。</w:t>
      </w:r>
    </w:p>
    <w:p>
      <w:pPr>
        <w:spacing w:line="580" w:lineRule="exact"/>
        <w:ind w:firstLine="640" w:firstLineChars="200"/>
        <w:rPr>
          <w:rFonts w:ascii="Times New Roman" w:hAnsi="Times New Roman" w:eastAsia="仿宋"/>
          <w:color w:val="000000"/>
          <w:szCs w:val="32"/>
        </w:rPr>
      </w:pPr>
      <w:r>
        <w:rPr>
          <w:rFonts w:ascii="Times New Roman" w:hAnsi="仿宋" w:eastAsia="仿宋"/>
          <w:color w:val="000000"/>
          <w:szCs w:val="32"/>
        </w:rPr>
        <w:t>（</w:t>
      </w:r>
      <w:r>
        <w:rPr>
          <w:rFonts w:hint="eastAsia" w:ascii="Times New Roman" w:hAnsi="Times New Roman" w:eastAsia="仿宋"/>
          <w:color w:val="000000"/>
          <w:szCs w:val="32"/>
        </w:rPr>
        <w:t>4</w:t>
      </w:r>
      <w:r>
        <w:rPr>
          <w:rFonts w:ascii="Times New Roman" w:hAnsi="仿宋" w:eastAsia="仿宋"/>
          <w:color w:val="000000"/>
          <w:szCs w:val="32"/>
        </w:rPr>
        <w:t>）形成自评报告。</w:t>
      </w:r>
    </w:p>
    <w:p>
      <w:pPr>
        <w:spacing w:line="580" w:lineRule="exact"/>
        <w:ind w:firstLine="640" w:firstLineChars="200"/>
        <w:rPr>
          <w:rFonts w:ascii="Times New Roman" w:hAnsi="Times New Roman" w:eastAsia="仿宋"/>
          <w:color w:val="000000"/>
          <w:szCs w:val="32"/>
        </w:rPr>
      </w:pPr>
      <w:r>
        <w:rPr>
          <w:rFonts w:ascii="Times New Roman" w:hAnsi="黑体" w:eastAsia="黑体"/>
          <w:color w:val="000000"/>
          <w:szCs w:val="32"/>
        </w:rPr>
        <w:t>七、主要绩效成果</w:t>
      </w:r>
      <w:r>
        <w:rPr>
          <w:rFonts w:ascii="Times New Roman" w:hAnsi="Times New Roman" w:eastAsia="黑体"/>
          <w:color w:val="000000"/>
          <w:szCs w:val="32"/>
        </w:rPr>
        <w:tab/>
      </w:r>
      <w:r>
        <w:rPr>
          <w:rFonts w:ascii="Times New Roman" w:hAnsi="Times New Roman" w:eastAsia="仿宋"/>
          <w:color w:val="000000"/>
          <w:szCs w:val="32"/>
        </w:rPr>
        <w:tab/>
      </w:r>
    </w:p>
    <w:p>
      <w:pPr>
        <w:spacing w:line="600" w:lineRule="exact"/>
        <w:ind w:firstLine="640"/>
        <w:rPr>
          <w:rFonts w:ascii="仿宋_GB2312" w:hAnsi="仿宋_GB2312" w:cs="仿宋_GB2312"/>
          <w:szCs w:val="32"/>
        </w:rPr>
      </w:pPr>
      <w:r>
        <w:rPr>
          <w:rFonts w:hint="eastAsia" w:ascii="仿宋_GB2312" w:hAnsi="仿宋_GB2312" w:cs="仿宋_GB2312"/>
          <w:szCs w:val="32"/>
        </w:rPr>
        <w:t>今年以来，益阳共青团在团省委的坚强领导下，深入学习宣传贯彻习近平新时代中国特色社会主义思想，认真贯彻落实“四大工程”和“十个百万青少年实践育人行动”，不断提高益阳共青团组织力、引领力、服务力和大局贡献度。</w:t>
      </w:r>
    </w:p>
    <w:p>
      <w:pPr>
        <w:adjustRightInd w:val="0"/>
        <w:snapToGrid w:val="0"/>
        <w:spacing w:line="560" w:lineRule="exact"/>
        <w:ind w:left="640" w:leftChars="200"/>
        <w:rPr>
          <w:rFonts w:ascii="黑体" w:hAnsi="黑体" w:eastAsia="黑体" w:cs="黑体"/>
          <w:color w:val="000000"/>
          <w:szCs w:val="32"/>
        </w:rPr>
      </w:pPr>
      <w:r>
        <w:rPr>
          <w:rFonts w:hint="eastAsia" w:ascii="黑体" w:hAnsi="黑体" w:eastAsia="黑体" w:cs="黑体"/>
          <w:szCs w:val="32"/>
        </w:rPr>
        <w:t>（一）加强政治建设，在</w:t>
      </w:r>
      <w:r>
        <w:rPr>
          <w:rFonts w:hint="eastAsia" w:ascii="黑体" w:hAnsi="黑体" w:eastAsia="黑体" w:cs="黑体"/>
          <w:color w:val="000000"/>
          <w:szCs w:val="32"/>
        </w:rPr>
        <w:t>坚定初心使命中筑牢青春之基</w:t>
      </w:r>
    </w:p>
    <w:p>
      <w:pPr>
        <w:overflowPunct w:val="0"/>
        <w:adjustRightInd w:val="0"/>
        <w:snapToGrid w:val="0"/>
        <w:spacing w:line="560" w:lineRule="exact"/>
        <w:ind w:firstLine="640" w:firstLineChars="200"/>
        <w:rPr>
          <w:rFonts w:ascii="楷体" w:hAnsi="楷体" w:eastAsia="楷体" w:cs="楷体"/>
          <w:bCs/>
        </w:rPr>
      </w:pPr>
      <w:r>
        <w:rPr>
          <w:rFonts w:ascii="方正仿宋简体" w:hAnsi="方正仿宋简体" w:eastAsia="方正仿宋简体" w:cs="方正仿宋简体"/>
          <w:szCs w:val="32"/>
        </w:rPr>
        <w:t>始终把旗帜鲜明讲政治作为首要政治任务，认真履行全面从严治党主体责任</w:t>
      </w:r>
      <w:r>
        <w:rPr>
          <w:rFonts w:hint="eastAsia" w:ascii="方正仿宋简体" w:hAnsi="方正仿宋简体" w:eastAsia="方正仿宋简体" w:cs="方正仿宋简体"/>
          <w:szCs w:val="32"/>
        </w:rPr>
        <w:t>，充分发挥领导班子把方向、管大局、强执行的作用。</w:t>
      </w:r>
    </w:p>
    <w:p>
      <w:pPr>
        <w:spacing w:line="560" w:lineRule="exact"/>
        <w:ind w:firstLine="640" w:firstLineChars="200"/>
        <w:rPr>
          <w:rFonts w:ascii="方正仿宋简体" w:hAnsi="方正仿宋简体" w:eastAsia="方正仿宋简体" w:cs="方正仿宋简体"/>
          <w:szCs w:val="32"/>
        </w:rPr>
      </w:pPr>
      <w:r>
        <w:rPr>
          <w:rFonts w:hint="eastAsia" w:ascii="楷体" w:hAnsi="楷体" w:eastAsia="楷体" w:cs="楷体"/>
          <w:bCs/>
        </w:rPr>
        <w:t>1.强化理论武装，</w:t>
      </w:r>
      <w:bookmarkStart w:id="0" w:name="OLE_LINK1"/>
      <w:r>
        <w:rPr>
          <w:rFonts w:hint="eastAsia" w:ascii="楷体" w:hAnsi="楷体" w:eastAsia="楷体" w:cs="楷体"/>
          <w:bCs/>
        </w:rPr>
        <w:t>牢牢把握政治方向</w:t>
      </w:r>
      <w:bookmarkEnd w:id="0"/>
      <w:r>
        <w:rPr>
          <w:rFonts w:hint="eastAsia" w:ascii="楷体" w:hAnsi="楷体" w:eastAsia="楷体" w:cs="楷体"/>
          <w:bCs/>
        </w:rPr>
        <w:t>。</w:t>
      </w:r>
      <w:r>
        <w:rPr>
          <w:rFonts w:hint="eastAsia" w:ascii="方正仿宋简体" w:hAnsi="方正仿宋简体" w:eastAsia="方正仿宋简体" w:cs="方正仿宋简体"/>
          <w:szCs w:val="32"/>
        </w:rPr>
        <w:t>持续推动党的创新理论入脑入心、落地生根。巩固拓展学习贯彻习近平新时代中国特色社会主义思想主题教育成果，完善中心组学习制度，发挥领导班子领学、促学、督学作用，认真安排和组织中心组学习和理论研讨，定期召开专题学习会，先后开展</w:t>
      </w:r>
      <w:r>
        <w:rPr>
          <w:rFonts w:ascii="Times New Roman" w:hAnsi="Times New Roman" w:eastAsia="方正仿宋简体" w:cs="方正仿宋简体"/>
          <w:szCs w:val="32"/>
        </w:rPr>
        <w:t>1</w:t>
      </w:r>
      <w:r>
        <w:rPr>
          <w:rFonts w:hint="eastAsia" w:ascii="Times New Roman" w:hAnsi="Times New Roman" w:eastAsia="方正仿宋简体" w:cs="方正仿宋简体"/>
          <w:szCs w:val="32"/>
        </w:rPr>
        <w:t>2</w:t>
      </w:r>
      <w:r>
        <w:rPr>
          <w:rFonts w:hint="eastAsia" w:ascii="方正仿宋简体" w:hAnsi="方正仿宋简体" w:eastAsia="方正仿宋简体" w:cs="方正仿宋简体"/>
          <w:szCs w:val="32"/>
        </w:rPr>
        <w:t>次团市委理论学习中心组集体学习研讨，班子成员每人交流发言</w:t>
      </w:r>
      <w:r>
        <w:rPr>
          <w:rFonts w:ascii="Times New Roman" w:hAnsi="Times New Roman" w:eastAsia="方正仿宋简体" w:cs="方正仿宋简体"/>
          <w:szCs w:val="32"/>
        </w:rPr>
        <w:t>20</w:t>
      </w:r>
      <w:r>
        <w:rPr>
          <w:rFonts w:hint="eastAsia" w:ascii="方正仿宋简体" w:hAnsi="方正仿宋简体" w:eastAsia="方正仿宋简体" w:cs="方正仿宋简体"/>
          <w:szCs w:val="32"/>
        </w:rPr>
        <w:t>次以上。班子主要负责同志参与省、市组织的党的二十届三中全会、省委十二届七次全会和市委七届七次全会精神专题学习</w:t>
      </w:r>
      <w:r>
        <w:rPr>
          <w:rFonts w:ascii="Times New Roman" w:hAnsi="Times New Roman" w:eastAsia="方正仿宋简体" w:cs="方正仿宋简体"/>
          <w:szCs w:val="32"/>
        </w:rPr>
        <w:t>3</w:t>
      </w:r>
      <w:r>
        <w:rPr>
          <w:rFonts w:hint="eastAsia" w:ascii="方正仿宋简体" w:hAnsi="方正仿宋简体" w:eastAsia="方正仿宋简体" w:cs="方正仿宋简体"/>
          <w:szCs w:val="32"/>
        </w:rPr>
        <w:t>次，做到读书有注记、学习有摘抄、阶段有体会。班子成员坚持以普通党员身份参加委机关党支部活动，到联点社区开展学习党的二十届三中全会精神宣讲，开展“三会一课”、主题党日活动</w:t>
      </w:r>
      <w:r>
        <w:rPr>
          <w:rFonts w:hint="eastAsia" w:ascii="Times New Roman" w:hAnsi="Times New Roman" w:eastAsia="方正仿宋简体" w:cs="方正仿宋简体"/>
          <w:szCs w:val="32"/>
        </w:rPr>
        <w:t>11</w:t>
      </w:r>
      <w:r>
        <w:rPr>
          <w:rFonts w:hint="eastAsia" w:ascii="方正仿宋简体" w:hAnsi="方正仿宋简体" w:eastAsia="方正仿宋简体" w:cs="方正仿宋简体"/>
          <w:szCs w:val="32"/>
        </w:rPr>
        <w:t>次。结合共青团工作实际，推动学习宣传既有章法、见力度，更重质量、强效果，真正把党的二十大和二十届三中全会精神落实到益阳共青团工作全过程。</w:t>
      </w:r>
    </w:p>
    <w:p>
      <w:pPr>
        <w:tabs>
          <w:tab w:val="left" w:pos="1770"/>
        </w:tabs>
        <w:spacing w:line="560" w:lineRule="exact"/>
        <w:ind w:firstLine="640" w:firstLineChars="200"/>
        <w:rPr>
          <w:rFonts w:ascii="方正仿宋简体" w:hAnsi="方正仿宋简体" w:eastAsia="方正仿宋简体" w:cs="方正仿宋简体"/>
          <w:szCs w:val="32"/>
        </w:rPr>
      </w:pPr>
      <w:r>
        <w:rPr>
          <w:rFonts w:hint="eastAsia" w:ascii="楷体" w:hAnsi="楷体" w:eastAsia="楷体" w:cs="楷体"/>
          <w:bCs/>
        </w:rPr>
        <w:t>2.改进工作作风，加强党风廉政建设。</w:t>
      </w:r>
      <w:r>
        <w:rPr>
          <w:rFonts w:hint="eastAsia" w:ascii="方正仿宋简体" w:hAnsi="方正仿宋简体" w:eastAsia="方正仿宋简体" w:cs="方正仿宋简体"/>
          <w:szCs w:val="32"/>
        </w:rPr>
        <w:t>认真履行党风廉政建设责任制和“一岗双责”，结合学习宣传贯彻党的二十大和二十届三中全会精神，把党章、党规、党纪纳入理论学习中心组学习内容，推动班子成员和各级团组织负责同志带头集中学习、带头交流发言、带头讲党课、带头检视整改，充分发挥“头雁效应”。</w:t>
      </w:r>
      <w:r>
        <w:rPr>
          <w:rFonts w:ascii="方正仿宋简体" w:hAnsi="方正仿宋简体" w:eastAsia="方正仿宋简体" w:cs="方正仿宋简体"/>
          <w:szCs w:val="32"/>
        </w:rPr>
        <w:t>出台《共青团益阳市委关于开展党纪学习教育实施方案》《</w:t>
      </w:r>
      <w:r>
        <w:rPr>
          <w:rFonts w:ascii="Times New Roman" w:hAnsi="Times New Roman" w:eastAsia="方正仿宋简体" w:cs="方正仿宋简体"/>
          <w:szCs w:val="32"/>
        </w:rPr>
        <w:t>2024</w:t>
      </w:r>
      <w:r>
        <w:rPr>
          <w:rFonts w:ascii="方正仿宋简体" w:hAnsi="方正仿宋简体" w:eastAsia="方正仿宋简体" w:cs="方正仿宋简体"/>
          <w:szCs w:val="32"/>
        </w:rPr>
        <w:t>年团市委党风廉政建设工作要点》</w:t>
      </w:r>
      <w:r>
        <w:rPr>
          <w:rFonts w:hint="eastAsia" w:ascii="方正仿宋简体" w:hAnsi="方正仿宋简体" w:eastAsia="方正仿宋简体" w:cs="方正仿宋简体"/>
          <w:szCs w:val="32"/>
        </w:rPr>
        <w:t>。扎实开展党纪学习教育，</w:t>
      </w:r>
      <w:r>
        <w:rPr>
          <w:rFonts w:ascii="方正仿宋简体" w:hAnsi="方正仿宋简体" w:eastAsia="方正仿宋简体" w:cs="方正仿宋简体"/>
          <w:szCs w:val="32"/>
        </w:rPr>
        <w:t>开</w:t>
      </w:r>
      <w:r>
        <w:rPr>
          <w:rFonts w:hint="eastAsia" w:ascii="方正仿宋简体" w:hAnsi="方正仿宋简体" w:eastAsia="方正仿宋简体" w:cs="方正仿宋简体"/>
          <w:szCs w:val="32"/>
        </w:rPr>
        <w:t>办</w:t>
      </w:r>
      <w:r>
        <w:rPr>
          <w:rFonts w:ascii="方正仿宋简体" w:hAnsi="方正仿宋简体" w:eastAsia="方正仿宋简体" w:cs="方正仿宋简体"/>
          <w:szCs w:val="32"/>
        </w:rPr>
        <w:t>专题读书班</w:t>
      </w:r>
      <w:r>
        <w:rPr>
          <w:rFonts w:ascii="Times New Roman" w:hAnsi="Times New Roman" w:eastAsia="方正仿宋简体" w:cs="方正仿宋简体"/>
          <w:szCs w:val="32"/>
        </w:rPr>
        <w:t>4</w:t>
      </w:r>
      <w:r>
        <w:rPr>
          <w:rFonts w:hint="eastAsia" w:ascii="方正仿宋简体" w:hAnsi="方正仿宋简体" w:eastAsia="方正仿宋简体" w:cs="方正仿宋简体"/>
          <w:szCs w:val="32"/>
        </w:rPr>
        <w:t>期</w:t>
      </w:r>
      <w:r>
        <w:rPr>
          <w:rFonts w:ascii="方正仿宋简体" w:hAnsi="方正仿宋简体" w:eastAsia="方正仿宋简体" w:cs="方正仿宋简体"/>
          <w:szCs w:val="32"/>
        </w:rPr>
        <w:t>，</w:t>
      </w:r>
      <w:r>
        <w:rPr>
          <w:rFonts w:hint="eastAsia" w:ascii="方正仿宋简体" w:hAnsi="方正仿宋简体" w:eastAsia="方正仿宋简体" w:cs="方正仿宋简体"/>
          <w:szCs w:val="32"/>
        </w:rPr>
        <w:t>召开全市团系统</w:t>
      </w:r>
      <w:r>
        <w:rPr>
          <w:rFonts w:ascii="方正仿宋简体" w:hAnsi="方正仿宋简体" w:eastAsia="方正仿宋简体" w:cs="方正仿宋简体"/>
          <w:szCs w:val="32"/>
        </w:rPr>
        <w:t>党风廉政建设会议</w:t>
      </w:r>
      <w:r>
        <w:rPr>
          <w:rFonts w:hint="eastAsia" w:ascii="Times New Roman" w:hAnsi="Times New Roman" w:eastAsia="方正仿宋简体" w:cs="方正仿宋简体"/>
          <w:szCs w:val="32"/>
        </w:rPr>
        <w:t>1</w:t>
      </w:r>
      <w:r>
        <w:rPr>
          <w:rFonts w:hint="eastAsia" w:ascii="方正仿宋简体" w:hAnsi="方正仿宋简体" w:eastAsia="方正仿宋简体" w:cs="方正仿宋简体"/>
          <w:szCs w:val="32"/>
        </w:rPr>
        <w:t>次</w:t>
      </w:r>
      <w:r>
        <w:rPr>
          <w:rFonts w:ascii="方正仿宋简体" w:hAnsi="方正仿宋简体" w:eastAsia="方正仿宋简体" w:cs="方正仿宋简体"/>
          <w:szCs w:val="32"/>
        </w:rPr>
        <w:t>，开展新晋升职级干部任前廉政谈话</w:t>
      </w:r>
      <w:r>
        <w:rPr>
          <w:rFonts w:hint="eastAsia" w:ascii="Times New Roman" w:hAnsi="Times New Roman" w:eastAsia="方正仿宋简体" w:cs="方正仿宋简体"/>
          <w:szCs w:val="32"/>
        </w:rPr>
        <w:t>5</w:t>
      </w:r>
      <w:r>
        <w:rPr>
          <w:rFonts w:ascii="方正仿宋简体" w:hAnsi="方正仿宋简体" w:eastAsia="方正仿宋简体" w:cs="方正仿宋简体"/>
          <w:szCs w:val="32"/>
        </w:rPr>
        <w:t>人次</w:t>
      </w:r>
      <w:r>
        <w:rPr>
          <w:rFonts w:hint="eastAsia" w:ascii="方正仿宋简体" w:hAnsi="方正仿宋简体" w:eastAsia="方正仿宋简体" w:cs="方正仿宋简体"/>
          <w:szCs w:val="32"/>
        </w:rPr>
        <w:t>，</w:t>
      </w:r>
      <w:r>
        <w:rPr>
          <w:rFonts w:ascii="方正仿宋简体" w:hAnsi="方正仿宋简体" w:eastAsia="方正仿宋简体" w:cs="方正仿宋简体"/>
          <w:szCs w:val="32"/>
        </w:rPr>
        <w:t>机关党支部书记讲纪律党课</w:t>
      </w:r>
      <w:r>
        <w:rPr>
          <w:rFonts w:ascii="Times New Roman" w:hAnsi="Times New Roman" w:eastAsia="方正仿宋简体" w:cs="方正仿宋简体"/>
          <w:szCs w:val="32"/>
        </w:rPr>
        <w:t>1</w:t>
      </w:r>
      <w:r>
        <w:rPr>
          <w:rFonts w:ascii="方正仿宋简体" w:hAnsi="方正仿宋简体" w:eastAsia="方正仿宋简体" w:cs="方正仿宋简体"/>
          <w:szCs w:val="32"/>
        </w:rPr>
        <w:t>次，党员干部讲微党课</w:t>
      </w:r>
      <w:r>
        <w:rPr>
          <w:rFonts w:hint="eastAsia" w:ascii="Times New Roman" w:hAnsi="Times New Roman" w:eastAsia="方正仿宋简体" w:cs="方正仿宋简体"/>
          <w:szCs w:val="32"/>
        </w:rPr>
        <w:t>3</w:t>
      </w:r>
      <w:r>
        <w:rPr>
          <w:rFonts w:ascii="方正仿宋简体" w:hAnsi="方正仿宋简体" w:eastAsia="方正仿宋简体" w:cs="方正仿宋简体"/>
          <w:szCs w:val="32"/>
        </w:rPr>
        <w:t>次、观看警示教育片</w:t>
      </w:r>
      <w:r>
        <w:rPr>
          <w:rFonts w:hint="eastAsia" w:ascii="Times New Roman" w:hAnsi="Times New Roman" w:eastAsia="方正仿宋简体" w:cs="方正仿宋简体"/>
          <w:szCs w:val="32"/>
        </w:rPr>
        <w:t>50</w:t>
      </w:r>
      <w:r>
        <w:rPr>
          <w:rFonts w:ascii="方正仿宋简体" w:hAnsi="方正仿宋简体" w:eastAsia="方正仿宋简体" w:cs="方正仿宋简体"/>
          <w:szCs w:val="32"/>
        </w:rPr>
        <w:t>人次。</w:t>
      </w:r>
      <w:r>
        <w:rPr>
          <w:rFonts w:hint="eastAsia" w:ascii="方正仿宋简体" w:hAnsi="方正仿宋简体" w:eastAsia="方正仿宋简体" w:cs="方正仿宋简体"/>
          <w:szCs w:val="32"/>
        </w:rPr>
        <w:t>对违规违纪零容忍，主动接受派驻纪检监察组全面监督，用身边事教育身边人，加强机关干部警示教育，有效遏制人民群众身边的“微腐败”。始终保持对权力和法纪的敬畏之心，严格遵守中央“八项规定”及省、市委相关纪律规定，坚守廉洁从政的纪律底线，不断改进工作作风，自觉净化社交圈、生活圈、朋友圈，严格落实领导干部个人有关事项报告制度，注意管好“家里人、身边人”，不断提升拒腐防变“免疫力”。严格落实意识形态工作责任制，在重要时间节点召开专题会议及时对舆情热点及风险研判分析，加强意识形态团属新媒体阵地管理，坚持信息发布内容三审制，切实维护网络意识形态安全，参与处置意识形态领域重大问题，提高网上议题设置能力和舆论引导水平。</w:t>
      </w:r>
    </w:p>
    <w:p>
      <w:pPr>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（二）聚焦主责主业，在思想引领中激扬青春理想</w:t>
      </w:r>
    </w:p>
    <w:p>
      <w:pPr>
        <w:adjustRightInd w:val="0"/>
        <w:snapToGrid w:val="0"/>
        <w:spacing w:line="560" w:lineRule="exact"/>
        <w:ind w:firstLine="640"/>
        <w:rPr>
          <w:rFonts w:ascii="方正仿宋简体" w:hAnsi="方正仿宋简体" w:eastAsia="方正仿宋简体" w:cs="方正仿宋简体"/>
          <w:szCs w:val="32"/>
        </w:rPr>
      </w:pPr>
      <w:r>
        <w:rPr>
          <w:rFonts w:hint="eastAsia" w:ascii="楷体" w:hAnsi="楷体" w:eastAsia="楷体" w:cs="楷体"/>
          <w:szCs w:val="32"/>
        </w:rPr>
        <w:t>1.政治引领得到强化。</w:t>
      </w:r>
      <w:r>
        <w:rPr>
          <w:rFonts w:hint="eastAsia" w:ascii="方正仿宋简体" w:hAnsi="方正仿宋简体" w:eastAsia="方正仿宋简体" w:cs="方正仿宋简体"/>
          <w:szCs w:val="32"/>
        </w:rPr>
        <w:t>深入学习党的二十大和二十届三中全会精神、习近平总书记关于青年工作的重要论述和在湖南考察时的重要讲话和指示精神，出台《益阳共青团深入学习宣传贯彻党的二十届三中全会精神工作方案》《益阳共青团学习贯彻党的二十届三中全会精神宣讲方案》，组建</w:t>
      </w:r>
      <w:r>
        <w:rPr>
          <w:rFonts w:hint="eastAsia" w:ascii="Times New Roman" w:hAnsi="Times New Roman" w:eastAsia="方正仿宋简体" w:cs="方正仿宋简体"/>
          <w:szCs w:val="32"/>
        </w:rPr>
        <w:t>78</w:t>
      </w:r>
      <w:r>
        <w:rPr>
          <w:rFonts w:hint="eastAsia" w:ascii="方正仿宋简体" w:hAnsi="方正仿宋简体" w:eastAsia="方正仿宋简体" w:cs="方正仿宋简体"/>
          <w:szCs w:val="32"/>
        </w:rPr>
        <w:t>人的“</w:t>
      </w:r>
      <w:r>
        <w:rPr>
          <w:rFonts w:hint="eastAsia" w:ascii="Times New Roman" w:hAnsi="Times New Roman" w:eastAsia="方正仿宋简体" w:cs="方正仿宋简体"/>
          <w:szCs w:val="32"/>
        </w:rPr>
        <w:t>80</w:t>
      </w:r>
      <w:r>
        <w:rPr>
          <w:rFonts w:hint="eastAsia" w:ascii="方正仿宋简体" w:hAnsi="方正仿宋简体" w:eastAsia="方正仿宋简体" w:cs="方正仿宋简体"/>
          <w:szCs w:val="32"/>
        </w:rPr>
        <w:t>、</w:t>
      </w:r>
      <w:r>
        <w:rPr>
          <w:rFonts w:hint="eastAsia" w:ascii="Times New Roman" w:hAnsi="Times New Roman" w:eastAsia="方正仿宋简体" w:cs="方正仿宋简体"/>
          <w:szCs w:val="32"/>
        </w:rPr>
        <w:t>90</w:t>
      </w:r>
      <w:r>
        <w:rPr>
          <w:rFonts w:hint="eastAsia" w:ascii="方正仿宋简体" w:hAnsi="方正仿宋简体" w:eastAsia="方正仿宋简体" w:cs="方正仿宋简体"/>
          <w:szCs w:val="32"/>
        </w:rPr>
        <w:t>、</w:t>
      </w:r>
      <w:r>
        <w:rPr>
          <w:rFonts w:hint="eastAsia" w:ascii="Times New Roman" w:hAnsi="Times New Roman" w:eastAsia="方正仿宋简体" w:cs="方正仿宋简体"/>
          <w:szCs w:val="32"/>
        </w:rPr>
        <w:t>00</w:t>
      </w:r>
      <w:r>
        <w:rPr>
          <w:rFonts w:hint="eastAsia" w:ascii="方正仿宋简体" w:hAnsi="方正仿宋简体" w:eastAsia="方正仿宋简体" w:cs="方正仿宋简体"/>
          <w:szCs w:val="32"/>
        </w:rPr>
        <w:t>”青年讲师团</w:t>
      </w:r>
      <w:r>
        <w:rPr>
          <w:rFonts w:ascii="方正仿宋简体" w:hAnsi="方正仿宋简体" w:eastAsia="方正仿宋简体" w:cs="方正仿宋简体"/>
          <w:szCs w:val="32"/>
        </w:rPr>
        <w:t>，</w:t>
      </w:r>
      <w:r>
        <w:rPr>
          <w:rFonts w:hint="eastAsia" w:ascii="方正仿宋简体" w:hAnsi="方正仿宋简体" w:eastAsia="方正仿宋简体" w:cs="方正仿宋简体"/>
          <w:szCs w:val="32"/>
        </w:rPr>
        <w:t>开展宣讲</w:t>
      </w:r>
      <w:r>
        <w:rPr>
          <w:rFonts w:hint="eastAsia" w:ascii="Times New Roman" w:hAnsi="Times New Roman" w:eastAsia="方正仿宋简体" w:cs="方正仿宋简体"/>
          <w:szCs w:val="32"/>
        </w:rPr>
        <w:t>120</w:t>
      </w:r>
      <w:r>
        <w:rPr>
          <w:rFonts w:hint="eastAsia" w:ascii="方正仿宋简体" w:hAnsi="方正仿宋简体" w:eastAsia="方正仿宋简体" w:cs="方正仿宋简体"/>
          <w:szCs w:val="32"/>
        </w:rPr>
        <w:t>余场，覆盖</w:t>
      </w:r>
      <w:r>
        <w:rPr>
          <w:rFonts w:hint="eastAsia" w:ascii="Times New Roman" w:hAnsi="Times New Roman" w:eastAsia="方正仿宋简体" w:cs="方正仿宋简体"/>
          <w:szCs w:val="32"/>
        </w:rPr>
        <w:t>3</w:t>
      </w:r>
      <w:r>
        <w:rPr>
          <w:rFonts w:hint="eastAsia" w:ascii="方正仿宋简体" w:hAnsi="方正仿宋简体" w:eastAsia="方正仿宋简体" w:cs="方正仿宋简体"/>
          <w:szCs w:val="32"/>
        </w:rPr>
        <w:t>万余人。发挥</w:t>
      </w:r>
      <w:r>
        <w:rPr>
          <w:rFonts w:ascii="方正仿宋简体" w:hAnsi="方正仿宋简体" w:eastAsia="方正仿宋简体" w:cs="方正仿宋简体"/>
          <w:szCs w:val="32"/>
        </w:rPr>
        <w:t>“</w:t>
      </w:r>
      <w:r>
        <w:rPr>
          <w:rFonts w:hint="eastAsia" w:ascii="方正仿宋简体" w:hAnsi="方正仿宋简体" w:eastAsia="方正仿宋简体" w:cs="方正仿宋简体"/>
          <w:szCs w:val="32"/>
        </w:rPr>
        <w:t>红领巾巡讲团</w:t>
      </w:r>
      <w:r>
        <w:rPr>
          <w:rFonts w:ascii="方正仿宋简体" w:hAnsi="方正仿宋简体" w:eastAsia="方正仿宋简体" w:cs="方正仿宋简体"/>
          <w:szCs w:val="32"/>
        </w:rPr>
        <w:t>”</w:t>
      </w:r>
      <w:r>
        <w:rPr>
          <w:rFonts w:hint="eastAsia" w:ascii="方正仿宋简体" w:hAnsi="方正仿宋简体" w:eastAsia="方正仿宋简体" w:cs="方正仿宋简体"/>
          <w:szCs w:val="32"/>
        </w:rPr>
        <w:t>示范作用，开展线上线下宣讲</w:t>
      </w:r>
      <w:r>
        <w:rPr>
          <w:rFonts w:ascii="Times New Roman" w:hAnsi="Times New Roman" w:eastAsia="方正仿宋简体" w:cs="方正仿宋简体"/>
          <w:szCs w:val="32"/>
        </w:rPr>
        <w:t>280</w:t>
      </w:r>
      <w:r>
        <w:rPr>
          <w:rFonts w:hint="eastAsia" w:ascii="方正仿宋简体" w:hAnsi="方正仿宋简体" w:eastAsia="方正仿宋简体" w:cs="方正仿宋简体"/>
          <w:szCs w:val="32"/>
        </w:rPr>
        <w:t>余场，覆盖</w:t>
      </w:r>
      <w:r>
        <w:rPr>
          <w:rFonts w:ascii="Times New Roman" w:hAnsi="Times New Roman" w:eastAsia="方正仿宋简体" w:cs="方正仿宋简体"/>
          <w:szCs w:val="32"/>
        </w:rPr>
        <w:t>7</w:t>
      </w:r>
      <w:r>
        <w:rPr>
          <w:rFonts w:hint="eastAsia" w:ascii="方正仿宋简体" w:hAnsi="方正仿宋简体" w:eastAsia="方正仿宋简体" w:cs="方正仿宋简体"/>
          <w:szCs w:val="32"/>
        </w:rPr>
        <w:t>万余人。</w:t>
      </w:r>
    </w:p>
    <w:p>
      <w:pPr>
        <w:adjustRightInd w:val="0"/>
        <w:snapToGrid w:val="0"/>
        <w:spacing w:line="560" w:lineRule="exact"/>
        <w:ind w:firstLine="640"/>
        <w:rPr>
          <w:rFonts w:ascii="Times New Roman" w:hAnsi="Times New Roman" w:eastAsia="方正仿宋简体"/>
          <w:color w:val="FF0000"/>
          <w:szCs w:val="32"/>
        </w:rPr>
      </w:pPr>
      <w:r>
        <w:rPr>
          <w:rFonts w:hint="eastAsia" w:ascii="楷体" w:hAnsi="楷体" w:eastAsia="楷体" w:cs="楷体"/>
          <w:szCs w:val="32"/>
        </w:rPr>
        <w:t>2.实践育人成效突出。</w:t>
      </w:r>
      <w:r>
        <w:rPr>
          <w:rFonts w:hint="eastAsia" w:ascii="方正仿宋简体" w:hAnsi="方正仿宋简体" w:eastAsia="方正仿宋简体" w:cs="方正仿宋简体"/>
          <w:szCs w:val="32"/>
        </w:rPr>
        <w:t>开展“红领巾爱祖国”主题系列活动，指导市县两级举办示范性集中入队仪式，</w:t>
      </w:r>
      <w:r>
        <w:rPr>
          <w:rFonts w:ascii="Times New Roman" w:hAnsi="Times New Roman" w:eastAsia="方正仿宋简体"/>
          <w:szCs w:val="32"/>
        </w:rPr>
        <w:t>全市5000余个少先队组织、32万</w:t>
      </w:r>
      <w:r>
        <w:rPr>
          <w:rFonts w:hint="eastAsia" w:ascii="Times New Roman" w:hAnsi="Times New Roman" w:eastAsia="方正仿宋简体"/>
          <w:szCs w:val="32"/>
        </w:rPr>
        <w:t>人次</w:t>
      </w:r>
      <w:r>
        <w:rPr>
          <w:rFonts w:ascii="Times New Roman" w:hAnsi="Times New Roman" w:eastAsia="方正仿宋简体"/>
          <w:szCs w:val="32"/>
        </w:rPr>
        <w:t>参与活动。</w:t>
      </w:r>
      <w:r>
        <w:rPr>
          <w:rFonts w:hint="eastAsia" w:ascii="方正仿宋简体" w:hAnsi="方正仿宋简体" w:eastAsia="方正仿宋简体" w:cs="方正仿宋简体"/>
          <w:szCs w:val="32"/>
        </w:rPr>
        <w:t>开展“到清溪 去读书”等青年文学主题实践活动，吸引省内</w:t>
      </w:r>
      <w:r>
        <w:rPr>
          <w:rFonts w:hint="eastAsia" w:ascii="Times New Roman" w:hAnsi="Times New Roman" w:eastAsia="方正仿宋简体" w:cs="方正仿宋简体"/>
          <w:szCs w:val="32"/>
        </w:rPr>
        <w:t>10</w:t>
      </w:r>
      <w:r>
        <w:rPr>
          <w:rFonts w:hint="eastAsia" w:ascii="方正仿宋简体" w:hAnsi="方正仿宋简体" w:eastAsia="方正仿宋简体" w:cs="方正仿宋简体"/>
          <w:szCs w:val="32"/>
        </w:rPr>
        <w:t>余所高校学生来益开展研学活动。在清溪村开展“益路守护关爱你我”夏令营活动，</w:t>
      </w:r>
      <w:r>
        <w:rPr>
          <w:rFonts w:hint="eastAsia" w:ascii="Times New Roman" w:hAnsi="Times New Roman" w:eastAsia="方正仿宋简体" w:cs="方正仿宋简体"/>
          <w:szCs w:val="32"/>
        </w:rPr>
        <w:t>120</w:t>
      </w:r>
      <w:r>
        <w:rPr>
          <w:rFonts w:hint="eastAsia" w:ascii="方正仿宋简体" w:hAnsi="方正仿宋简体" w:eastAsia="方正仿宋简体" w:cs="方正仿宋简体"/>
          <w:szCs w:val="32"/>
        </w:rPr>
        <w:t>名困境青少年共享“山乡新巨变”。联合市检察院印发《关于建立益阳市未成年人实践帮教基地工作方案》《益阳市未成年人实践帮教基地实施办法》，并综合确定</w:t>
      </w:r>
      <w:r>
        <w:rPr>
          <w:rFonts w:hint="eastAsia" w:ascii="Times New Roman" w:hAnsi="Times New Roman" w:eastAsia="方正仿宋简体" w:cs="方正仿宋简体"/>
          <w:szCs w:val="32"/>
        </w:rPr>
        <w:t>10家</w:t>
      </w:r>
      <w:r>
        <w:rPr>
          <w:rFonts w:hint="eastAsia" w:ascii="方正仿宋简体" w:hAnsi="方正仿宋简体" w:eastAsia="方正仿宋简体" w:cs="方正仿宋简体"/>
          <w:szCs w:val="32"/>
        </w:rPr>
        <w:t>试点企业，对涉罪未成年人开展观护帮教，帮助其顺利回归社会。</w:t>
      </w:r>
    </w:p>
    <w:p>
      <w:pPr>
        <w:adjustRightInd w:val="0"/>
        <w:snapToGrid w:val="0"/>
        <w:spacing w:line="560" w:lineRule="exact"/>
        <w:ind w:firstLine="640" w:firstLineChars="200"/>
        <w:rPr>
          <w:rFonts w:ascii="Times New Roman" w:hAnsi="Times New Roman" w:eastAsia="方正仿宋简体" w:cs="方正仿宋简体"/>
          <w:szCs w:val="32"/>
        </w:rPr>
      </w:pPr>
      <w:r>
        <w:rPr>
          <w:rFonts w:hint="eastAsia" w:ascii="楷体" w:hAnsi="楷体" w:eastAsia="楷体" w:cs="楷体"/>
          <w:szCs w:val="32"/>
        </w:rPr>
        <w:t>3.宣传矩阵不断建强。</w:t>
      </w:r>
      <w:r>
        <w:rPr>
          <w:rFonts w:hint="eastAsia" w:ascii="Times New Roman" w:hAnsi="Times New Roman" w:eastAsia="方正仿宋简体" w:cs="方正仿宋简体"/>
          <w:szCs w:val="32"/>
        </w:rPr>
        <w:t>“益阳共青团”微博发布1703条，“益阳共青团”微信公众号发布推文326条，推出青年夜校、团团工作、青年典型等栏目，广受青年喜爱，点击量达12万人次。发布纪念五四运动105周年宣传片《每“益”个青春都有“新”模样》等原创视频24余篇，视频号、抖音累计播放量达到260万以上。各类活动信息报道上稿央媒7篇、省级媒体61篇。通过线上互动送出原创IP“益小青”系列文创产品100余份。在国庆节、中秋节、母亲节等重要时间节点推出原创手绘海报、手绘漫画40余张。</w:t>
      </w:r>
    </w:p>
    <w:p>
      <w:pPr>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（三）围绕中心大局，在建功立业中彰显青春担当</w:t>
      </w:r>
    </w:p>
    <w:p>
      <w:pPr>
        <w:adjustRightInd w:val="0"/>
        <w:snapToGrid w:val="0"/>
        <w:spacing w:line="560" w:lineRule="exact"/>
        <w:ind w:firstLine="640"/>
        <w:rPr>
          <w:rFonts w:ascii="Times New Roman" w:hAnsi="Times New Roman" w:eastAsia="方正仿宋简体" w:cs="方正仿宋简体"/>
          <w:color w:val="FF0000"/>
          <w:szCs w:val="32"/>
        </w:rPr>
      </w:pPr>
      <w:bookmarkStart w:id="1" w:name="OLE_LINK2"/>
      <w:r>
        <w:rPr>
          <w:rFonts w:hint="eastAsia" w:ascii="楷体" w:hAnsi="楷体" w:eastAsia="楷体" w:cs="楷体"/>
          <w:szCs w:val="32"/>
        </w:rPr>
        <w:t>1.服务经济高质量发展</w:t>
      </w:r>
      <w:bookmarkEnd w:id="1"/>
      <w:r>
        <w:rPr>
          <w:rFonts w:hint="eastAsia" w:ascii="楷体" w:hAnsi="楷体" w:eastAsia="楷体" w:cs="楷体"/>
          <w:szCs w:val="32"/>
        </w:rPr>
        <w:t>。</w:t>
      </w:r>
      <w:r>
        <w:rPr>
          <w:rFonts w:hint="eastAsia" w:ascii="方正仿宋简体" w:hAnsi="方正仿宋简体" w:eastAsia="方正仿宋简体" w:cs="方正仿宋简体"/>
          <w:szCs w:val="32"/>
        </w:rPr>
        <w:t>引领全市广大团员青年主动参与“强中心城区”“东接东融”等重大战略实施，积极参与建设“</w:t>
      </w:r>
      <w:r>
        <w:rPr>
          <w:rFonts w:hint="eastAsia" w:ascii="Times New Roman" w:hAnsi="Times New Roman" w:eastAsia="方正仿宋简体" w:cs="方正仿宋简体"/>
          <w:szCs w:val="32"/>
        </w:rPr>
        <w:t>334</w:t>
      </w:r>
      <w:r>
        <w:rPr>
          <w:rFonts w:hint="eastAsia" w:ascii="方正仿宋简体" w:hAnsi="方正仿宋简体" w:eastAsia="方正仿宋简体" w:cs="方正仿宋简体"/>
          <w:szCs w:val="32"/>
        </w:rPr>
        <w:t>”现代化产业体系。举办“青春助‘益’ 时代建‘工’”益阳市纪念五四运动</w:t>
      </w:r>
      <w:r>
        <w:rPr>
          <w:rFonts w:hint="eastAsia" w:ascii="Times New Roman" w:hAnsi="Times New Roman" w:eastAsia="方正仿宋简体" w:cs="方正仿宋简体"/>
          <w:szCs w:val="32"/>
        </w:rPr>
        <w:t>105</w:t>
      </w:r>
      <w:r>
        <w:rPr>
          <w:rFonts w:hint="eastAsia" w:ascii="方正仿宋简体" w:hAnsi="方正仿宋简体" w:eastAsia="方正仿宋简体" w:cs="方正仿宋简体"/>
          <w:szCs w:val="32"/>
        </w:rPr>
        <w:t>周年主题活动，全市</w:t>
      </w:r>
      <w:r>
        <w:rPr>
          <w:rFonts w:hint="eastAsia" w:ascii="Times New Roman" w:hAnsi="Times New Roman" w:eastAsia="方正仿宋简体" w:cs="方正仿宋简体"/>
          <w:szCs w:val="32"/>
        </w:rPr>
        <w:t>200</w:t>
      </w:r>
      <w:r>
        <w:rPr>
          <w:rFonts w:hint="eastAsia" w:ascii="方正仿宋简体" w:hAnsi="方正仿宋简体" w:eastAsia="方正仿宋简体" w:cs="方正仿宋简体"/>
          <w:szCs w:val="32"/>
        </w:rPr>
        <w:t>余名青年创业者、青年科技工作者及产业技术工人参加。积极推进“双招双引”工作，出台《益阳青年助力新型工业化三项行动实施方案》，提出</w:t>
      </w:r>
      <w:r>
        <w:rPr>
          <w:rFonts w:hint="eastAsia" w:ascii="Times New Roman" w:hAnsi="Times New Roman" w:eastAsia="方正仿宋简体" w:cs="方正仿宋简体"/>
          <w:szCs w:val="32"/>
        </w:rPr>
        <w:t>25</w:t>
      </w:r>
      <w:r>
        <w:rPr>
          <w:rFonts w:hint="eastAsia" w:ascii="方正仿宋简体" w:hAnsi="方正仿宋简体" w:eastAsia="方正仿宋简体" w:cs="方正仿宋简体"/>
          <w:szCs w:val="32"/>
        </w:rPr>
        <w:t>条“硬措施”。与湖大、湖师大等</w:t>
      </w:r>
      <w:r>
        <w:rPr>
          <w:rFonts w:hint="eastAsia" w:ascii="Times New Roman" w:hAnsi="Times New Roman" w:eastAsia="方正仿宋简体" w:cs="方正仿宋简体"/>
          <w:szCs w:val="32"/>
        </w:rPr>
        <w:t>5</w:t>
      </w:r>
      <w:r>
        <w:rPr>
          <w:rFonts w:hint="eastAsia" w:ascii="方正仿宋简体" w:hAnsi="方正仿宋简体" w:eastAsia="方正仿宋简体" w:cs="方正仿宋简体"/>
          <w:szCs w:val="32"/>
        </w:rPr>
        <w:t>所高校在创新创业、产业推介等工作上达成框架协议</w:t>
      </w:r>
      <w:r>
        <w:rPr>
          <w:rFonts w:ascii="方正仿宋简体" w:hAnsi="方正仿宋简体" w:eastAsia="方正仿宋简体" w:cs="方正仿宋简体"/>
          <w:szCs w:val="32"/>
        </w:rPr>
        <w:t>，</w:t>
      </w:r>
      <w:r>
        <w:rPr>
          <w:rFonts w:hint="eastAsia" w:ascii="方正仿宋简体" w:hAnsi="方正仿宋简体" w:eastAsia="方正仿宋简体" w:cs="方正仿宋简体"/>
          <w:szCs w:val="32"/>
        </w:rPr>
        <w:t>并与中南大学合作开展校企创新创业双向揭榜挂帅活动，整合高校科研资源，助力全市新型工业化建设。联合市直相关单位成立“益阳市助力新型工业化青年突击队”，立足职能职责发挥先锋模范作用，深入企业车间、项目建设一线，服务生产经营，助力优化营商环境。积极</w:t>
      </w:r>
      <w:r>
        <w:rPr>
          <w:rFonts w:hint="eastAsia" w:ascii="Times New Roman" w:hAnsi="Times New Roman" w:eastAsia="方正仿宋简体" w:cs="方正仿宋简体"/>
          <w:szCs w:val="32"/>
        </w:rPr>
        <w:t>助力益阳文旅高质量发展，探索“文旅推介＋高校引才”新路径，</w:t>
      </w:r>
      <w:r>
        <w:rPr>
          <w:rFonts w:hint="eastAsia" w:ascii="方正仿宋简体" w:hAnsi="方正仿宋简体" w:eastAsia="方正仿宋简体" w:cs="方正仿宋简体"/>
          <w:szCs w:val="32"/>
        </w:rPr>
        <w:t>联合桃江、安化县</w:t>
      </w:r>
      <w:r>
        <w:rPr>
          <w:rFonts w:hint="eastAsia" w:ascii="Times New Roman" w:hAnsi="Times New Roman" w:eastAsia="方正仿宋简体" w:cs="方正仿宋简体"/>
          <w:szCs w:val="32"/>
        </w:rPr>
        <w:t>开展益阳文旅进校园活动3场，覆盖大学生4万余人次；围绕</w:t>
      </w:r>
      <w:r>
        <w:rPr>
          <w:rFonts w:hint="eastAsia" w:ascii="方正仿宋简体" w:hAnsi="方正仿宋简体" w:eastAsia="方正仿宋简体" w:cs="CESI仿宋-GB2312"/>
          <w:szCs w:val="32"/>
          <w:shd w:val="clear" w:color="auto" w:fill="FFFFFF"/>
        </w:rPr>
        <w:t>清溪村</w:t>
      </w:r>
      <w:r>
        <w:rPr>
          <w:rFonts w:ascii="Times New Roman" w:hAnsi="Times New Roman" w:eastAsia="方正仿宋简体"/>
          <w:szCs w:val="32"/>
        </w:rPr>
        <w:t>文学村庄建设</w:t>
      </w:r>
      <w:r>
        <w:rPr>
          <w:rFonts w:hint="eastAsia" w:ascii="Times New Roman" w:hAnsi="Times New Roman" w:eastAsia="方正仿宋简体"/>
          <w:szCs w:val="32"/>
        </w:rPr>
        <w:t>，</w:t>
      </w:r>
      <w:r>
        <w:rPr>
          <w:rFonts w:hint="eastAsia" w:ascii="方正仿宋简体" w:hAnsi="方正仿宋简体" w:eastAsia="方正仿宋简体" w:cs="CESI仿宋-GB2312"/>
          <w:szCs w:val="32"/>
          <w:shd w:val="clear" w:color="auto" w:fill="FFFFFF"/>
        </w:rPr>
        <w:t>策划推出“</w:t>
      </w:r>
      <w:r>
        <w:rPr>
          <w:rFonts w:ascii="Times New Roman" w:hAnsi="Times New Roman" w:eastAsia="方正仿宋简体"/>
          <w:szCs w:val="32"/>
          <w:shd w:val="clear" w:color="auto" w:fill="FFFFFF"/>
        </w:rPr>
        <w:t>1+5+N</w:t>
      </w:r>
      <w:r>
        <w:rPr>
          <w:rFonts w:hint="eastAsia" w:ascii="方正仿宋简体" w:hAnsi="方正仿宋简体" w:eastAsia="方正仿宋简体" w:cs="CESI仿宋-GB2312"/>
          <w:szCs w:val="32"/>
          <w:shd w:val="clear" w:color="auto" w:fill="FFFFFF"/>
        </w:rPr>
        <w:t>”系列活动，打造“大学生玩转清溪”品牌，沉浸式读书活动在</w:t>
      </w:r>
      <w:r>
        <w:rPr>
          <w:rFonts w:ascii="Times New Roman" w:hAnsi="Times New Roman" w:eastAsia="方正仿宋简体"/>
          <w:szCs w:val="32"/>
          <w:shd w:val="clear" w:color="auto" w:fill="FFFFFF"/>
        </w:rPr>
        <w:t>CCTV10</w:t>
      </w:r>
      <w:r>
        <w:rPr>
          <w:rFonts w:hint="eastAsia" w:ascii="方正仿宋简体" w:hAnsi="方正仿宋简体" w:eastAsia="方正仿宋简体" w:cs="CESI仿宋-GB2312"/>
          <w:szCs w:val="32"/>
          <w:shd w:val="clear" w:color="auto" w:fill="FFFFFF"/>
        </w:rPr>
        <w:t>央视科教频道《读书》栏目播出。</w:t>
      </w:r>
    </w:p>
    <w:p>
      <w:pPr>
        <w:adjustRightInd w:val="0"/>
        <w:snapToGrid w:val="0"/>
        <w:spacing w:line="560" w:lineRule="exact"/>
        <w:ind w:firstLine="640" w:firstLineChars="200"/>
        <w:rPr>
          <w:rFonts w:ascii="方正仿宋简体" w:hAnsi="方正仿宋简体" w:eastAsia="方正仿宋简体" w:cs="CESI仿宋-GB2312"/>
          <w:szCs w:val="32"/>
          <w:shd w:val="clear" w:color="auto" w:fill="FFFFFF"/>
        </w:rPr>
      </w:pPr>
      <w:r>
        <w:rPr>
          <w:rFonts w:hint="eastAsia" w:ascii="楷体" w:hAnsi="楷体" w:eastAsia="楷体" w:cs="楷体"/>
          <w:szCs w:val="32"/>
        </w:rPr>
        <w:t>2.助力乡村全面振兴。</w:t>
      </w:r>
      <w:r>
        <w:rPr>
          <w:rFonts w:hint="eastAsia" w:ascii="方正仿宋简体" w:hAnsi="方正仿宋简体" w:eastAsia="方正仿宋简体" w:cs="仿宋"/>
          <w:szCs w:val="32"/>
        </w:rPr>
        <w:t>扎实推进“百企联百村”村企共建工作，</w:t>
      </w:r>
      <w:r>
        <w:rPr>
          <w:rFonts w:hint="eastAsia" w:ascii="方正仿宋简体" w:hAnsi="方正仿宋简体" w:eastAsia="方正仿宋简体" w:cs="CESI仿宋-GB2312"/>
          <w:szCs w:val="32"/>
        </w:rPr>
        <w:t>全市各级共青团组织帮扶村集体经济薄弱村</w:t>
      </w:r>
      <w:r>
        <w:rPr>
          <w:rFonts w:hint="eastAsia" w:ascii="Times New Roman" w:hAnsi="Times New Roman" w:eastAsia="方正仿宋简体" w:cs="CESI仿宋-GB2312"/>
          <w:szCs w:val="32"/>
        </w:rPr>
        <w:t>26</w:t>
      </w:r>
      <w:r>
        <w:rPr>
          <w:rFonts w:hint="eastAsia" w:ascii="方正仿宋简体" w:hAnsi="方正仿宋简体" w:eastAsia="方正仿宋简体" w:cs="CESI仿宋-GB2312"/>
          <w:szCs w:val="32"/>
        </w:rPr>
        <w:t>个，支持创业项目</w:t>
      </w:r>
      <w:r>
        <w:rPr>
          <w:rFonts w:hint="eastAsia" w:ascii="Times New Roman" w:hAnsi="Times New Roman" w:eastAsia="方正仿宋简体" w:cs="CESI仿宋-GB2312"/>
          <w:szCs w:val="32"/>
        </w:rPr>
        <w:t>7</w:t>
      </w:r>
      <w:r>
        <w:rPr>
          <w:rFonts w:hint="eastAsia" w:ascii="方正仿宋简体" w:hAnsi="方正仿宋简体" w:eastAsia="方正仿宋简体" w:cs="CESI仿宋-GB2312"/>
          <w:szCs w:val="32"/>
        </w:rPr>
        <w:t>个，联系服务创业青年和农村青年致富带头人</w:t>
      </w:r>
      <w:r>
        <w:rPr>
          <w:rFonts w:hint="eastAsia" w:ascii="Times New Roman" w:hAnsi="Times New Roman" w:eastAsia="方正仿宋简体" w:cs="CESI仿宋-GB2312"/>
          <w:szCs w:val="32"/>
        </w:rPr>
        <w:t>335</w:t>
      </w:r>
      <w:r>
        <w:rPr>
          <w:rFonts w:hint="eastAsia" w:ascii="方正仿宋简体" w:hAnsi="方正仿宋简体" w:eastAsia="方正仿宋简体" w:cs="CESI仿宋-GB2312"/>
          <w:szCs w:val="32"/>
        </w:rPr>
        <w:t>人，培训创业青年</w:t>
      </w:r>
      <w:r>
        <w:rPr>
          <w:rFonts w:hint="eastAsia" w:ascii="Times New Roman" w:hAnsi="Times New Roman" w:eastAsia="方正仿宋简体" w:cs="CESI仿宋-GB2312"/>
          <w:szCs w:val="32"/>
        </w:rPr>
        <w:t>2192</w:t>
      </w:r>
      <w:r>
        <w:rPr>
          <w:rFonts w:hint="eastAsia" w:ascii="方正仿宋简体" w:hAnsi="方正仿宋简体" w:eastAsia="方正仿宋简体" w:cs="CESI仿宋-GB2312"/>
          <w:szCs w:val="32"/>
        </w:rPr>
        <w:t>人。举办“青耘中国”直播助农活动，</w:t>
      </w:r>
      <w:r>
        <w:rPr>
          <w:rFonts w:hint="eastAsia" w:ascii="方正仿宋简体" w:hAnsi="方正仿宋简体" w:eastAsia="方正仿宋简体" w:cs="CESI仿宋-GB2312"/>
          <w:szCs w:val="32"/>
          <w:shd w:val="clear" w:color="auto" w:fill="FFFFFF"/>
        </w:rPr>
        <w:t>全市各级团组织开展直播</w:t>
      </w:r>
      <w:r>
        <w:rPr>
          <w:rFonts w:hint="eastAsia" w:ascii="Times New Roman" w:hAnsi="Times New Roman" w:eastAsia="方正仿宋简体" w:cs="CESI仿宋-GB2312"/>
          <w:szCs w:val="32"/>
          <w:shd w:val="clear" w:color="auto" w:fill="FFFFFF"/>
        </w:rPr>
        <w:t>31</w:t>
      </w:r>
      <w:r>
        <w:rPr>
          <w:rFonts w:hint="eastAsia" w:ascii="方正仿宋简体" w:hAnsi="方正仿宋简体" w:eastAsia="方正仿宋简体" w:cs="CESI仿宋-GB2312"/>
          <w:szCs w:val="32"/>
          <w:shd w:val="clear" w:color="auto" w:fill="FFFFFF"/>
        </w:rPr>
        <w:t>场、直播总时长达</w:t>
      </w:r>
      <w:r>
        <w:rPr>
          <w:rFonts w:hint="eastAsia" w:ascii="Times New Roman" w:hAnsi="Times New Roman" w:eastAsia="方正仿宋简体" w:cs="CESI仿宋-GB2312"/>
          <w:szCs w:val="32"/>
          <w:shd w:val="clear" w:color="auto" w:fill="FFFFFF"/>
        </w:rPr>
        <w:t>113</w:t>
      </w:r>
      <w:r>
        <w:rPr>
          <w:rFonts w:hint="eastAsia" w:ascii="方正仿宋简体" w:hAnsi="方正仿宋简体" w:eastAsia="方正仿宋简体" w:cs="CESI仿宋-GB2312"/>
          <w:szCs w:val="32"/>
          <w:shd w:val="clear" w:color="auto" w:fill="FFFFFF"/>
        </w:rPr>
        <w:t>.</w:t>
      </w:r>
      <w:r>
        <w:rPr>
          <w:rFonts w:hint="eastAsia" w:ascii="Times New Roman" w:hAnsi="Times New Roman" w:eastAsia="方正仿宋简体" w:cs="CESI仿宋-GB2312"/>
          <w:szCs w:val="32"/>
          <w:shd w:val="clear" w:color="auto" w:fill="FFFFFF"/>
        </w:rPr>
        <w:t>5</w:t>
      </w:r>
      <w:r>
        <w:rPr>
          <w:rFonts w:hint="eastAsia" w:ascii="方正仿宋简体" w:hAnsi="方正仿宋简体" w:eastAsia="方正仿宋简体" w:cs="CESI仿宋-GB2312"/>
          <w:szCs w:val="32"/>
          <w:shd w:val="clear" w:color="auto" w:fill="FFFFFF"/>
        </w:rPr>
        <w:t>小时，吸引</w:t>
      </w:r>
      <w:r>
        <w:rPr>
          <w:rFonts w:hint="eastAsia" w:ascii="Times New Roman" w:hAnsi="Times New Roman" w:eastAsia="方正仿宋简体" w:cs="CESI仿宋-GB2312"/>
          <w:szCs w:val="32"/>
          <w:shd w:val="clear" w:color="auto" w:fill="FFFFFF"/>
        </w:rPr>
        <w:t>50</w:t>
      </w:r>
      <w:r>
        <w:rPr>
          <w:rFonts w:hint="eastAsia" w:ascii="方正仿宋简体" w:hAnsi="方正仿宋简体" w:eastAsia="方正仿宋简体" w:cs="CESI仿宋-GB2312"/>
          <w:szCs w:val="32"/>
          <w:shd w:val="clear" w:color="auto" w:fill="FFFFFF"/>
        </w:rPr>
        <w:t>.</w:t>
      </w:r>
      <w:r>
        <w:rPr>
          <w:rFonts w:hint="eastAsia" w:ascii="Times New Roman" w:hAnsi="Times New Roman" w:eastAsia="方正仿宋简体" w:cs="CESI仿宋-GB2312"/>
          <w:szCs w:val="32"/>
          <w:shd w:val="clear" w:color="auto" w:fill="FFFFFF"/>
        </w:rPr>
        <w:t>8</w:t>
      </w:r>
      <w:r>
        <w:rPr>
          <w:rFonts w:hint="eastAsia" w:ascii="方正仿宋简体" w:hAnsi="方正仿宋简体" w:eastAsia="方正仿宋简体" w:cs="CESI仿宋-GB2312"/>
          <w:szCs w:val="32"/>
          <w:shd w:val="clear" w:color="auto" w:fill="FFFFFF"/>
        </w:rPr>
        <w:t>万人次观看，售出</w:t>
      </w:r>
      <w:r>
        <w:rPr>
          <w:rFonts w:hint="eastAsia" w:ascii="Times New Roman" w:hAnsi="Times New Roman" w:eastAsia="方正仿宋简体" w:cs="CESI仿宋-GB2312"/>
          <w:szCs w:val="32"/>
          <w:shd w:val="clear" w:color="auto" w:fill="FFFFFF"/>
        </w:rPr>
        <w:t>4</w:t>
      </w:r>
      <w:r>
        <w:rPr>
          <w:rFonts w:hint="eastAsia" w:ascii="方正仿宋简体" w:hAnsi="方正仿宋简体" w:eastAsia="方正仿宋简体" w:cs="CESI仿宋-GB2312"/>
          <w:szCs w:val="32"/>
          <w:shd w:val="clear" w:color="auto" w:fill="FFFFFF"/>
        </w:rPr>
        <w:t>.</w:t>
      </w:r>
      <w:r>
        <w:rPr>
          <w:rFonts w:hint="eastAsia" w:ascii="Times New Roman" w:hAnsi="Times New Roman" w:eastAsia="方正仿宋简体" w:cs="CESI仿宋-GB2312"/>
          <w:szCs w:val="32"/>
          <w:shd w:val="clear" w:color="auto" w:fill="FFFFFF"/>
        </w:rPr>
        <w:t>17</w:t>
      </w:r>
      <w:r>
        <w:rPr>
          <w:rFonts w:hint="eastAsia" w:ascii="方正仿宋简体" w:hAnsi="方正仿宋简体" w:eastAsia="方正仿宋简体" w:cs="CESI仿宋-GB2312"/>
          <w:szCs w:val="32"/>
          <w:shd w:val="clear" w:color="auto" w:fill="FFFFFF"/>
        </w:rPr>
        <w:t>万件农产品，销售总额达</w:t>
      </w:r>
      <w:r>
        <w:rPr>
          <w:rFonts w:hint="eastAsia" w:ascii="Times New Roman" w:hAnsi="Times New Roman" w:eastAsia="方正仿宋简体" w:cs="CESI仿宋-GB2312"/>
          <w:szCs w:val="32"/>
          <w:shd w:val="clear" w:color="auto" w:fill="FFFFFF"/>
        </w:rPr>
        <w:t>166</w:t>
      </w:r>
      <w:r>
        <w:rPr>
          <w:rFonts w:hint="eastAsia" w:ascii="方正仿宋简体" w:hAnsi="方正仿宋简体" w:eastAsia="方正仿宋简体" w:cs="CESI仿宋-GB2312"/>
          <w:szCs w:val="32"/>
          <w:shd w:val="clear" w:color="auto" w:fill="FFFFFF"/>
        </w:rPr>
        <w:t>万元。</w:t>
      </w:r>
    </w:p>
    <w:p>
      <w:pPr>
        <w:adjustRightInd w:val="0"/>
        <w:snapToGrid w:val="0"/>
        <w:spacing w:line="560" w:lineRule="exact"/>
        <w:ind w:firstLine="640" w:firstLineChars="200"/>
        <w:rPr>
          <w:rFonts w:ascii="CESI仿宋-GB2312" w:hAnsi="CESI仿宋-GB2312" w:eastAsia="CESI仿宋-GB2312" w:cs="CESI仿宋-GB2312"/>
          <w:szCs w:val="32"/>
        </w:rPr>
      </w:pPr>
      <w:r>
        <w:rPr>
          <w:rFonts w:hint="eastAsia" w:ascii="楷体" w:hAnsi="楷体" w:eastAsia="楷体" w:cs="楷体"/>
          <w:szCs w:val="32"/>
        </w:rPr>
        <w:t>3.铸牢民族团结之魂。</w:t>
      </w:r>
      <w:r>
        <w:rPr>
          <w:rFonts w:hint="eastAsia" w:ascii="方正仿宋简体" w:hAnsi="方正仿宋简体" w:eastAsia="方正仿宋简体" w:cs="方正仿宋简体"/>
          <w:szCs w:val="32"/>
        </w:rPr>
        <w:t>组织全市</w:t>
      </w:r>
      <w:r>
        <w:rPr>
          <w:rFonts w:hint="eastAsia" w:ascii="Times New Roman" w:hAnsi="Times New Roman" w:eastAsia="方正仿宋简体" w:cs="方正仿宋简体"/>
          <w:szCs w:val="32"/>
        </w:rPr>
        <w:t>6</w:t>
      </w:r>
      <w:r>
        <w:rPr>
          <w:rFonts w:hint="eastAsia" w:ascii="方正仿宋简体" w:hAnsi="方正仿宋简体" w:eastAsia="方正仿宋简体" w:cs="方正仿宋简体"/>
          <w:szCs w:val="32"/>
        </w:rPr>
        <w:t>所学校</w:t>
      </w:r>
      <w:r>
        <w:rPr>
          <w:rFonts w:hint="eastAsia" w:ascii="Times New Roman" w:hAnsi="Times New Roman" w:eastAsia="方正仿宋简体" w:cs="方正仿宋简体"/>
          <w:szCs w:val="32"/>
        </w:rPr>
        <w:t>318</w:t>
      </w:r>
      <w:r>
        <w:rPr>
          <w:rFonts w:hint="eastAsia" w:ascii="方正仿宋简体" w:hAnsi="方正仿宋简体" w:eastAsia="方正仿宋简体" w:cs="方正仿宋简体"/>
          <w:szCs w:val="32"/>
        </w:rPr>
        <w:t>个中队与新疆生产建设兵团</w:t>
      </w:r>
      <w:r>
        <w:rPr>
          <w:rFonts w:hint="eastAsia" w:ascii="Times New Roman" w:hAnsi="Times New Roman" w:eastAsia="方正仿宋简体" w:cs="方正仿宋简体"/>
          <w:szCs w:val="32"/>
        </w:rPr>
        <w:t>221</w:t>
      </w:r>
      <w:r>
        <w:rPr>
          <w:rFonts w:hint="eastAsia" w:ascii="方正仿宋简体" w:hAnsi="方正仿宋简体" w:eastAsia="方正仿宋简体" w:cs="方正仿宋简体"/>
          <w:szCs w:val="32"/>
        </w:rPr>
        <w:t>团开展“益兵情”湘疆少年儿童“书信手拉手”活动。开展“石榴籽一家亲”民族团结主题团（队）课</w:t>
      </w:r>
      <w:r>
        <w:rPr>
          <w:rFonts w:hint="eastAsia" w:ascii="Times New Roman" w:hAnsi="Times New Roman" w:eastAsia="方正仿宋简体" w:cs="方正仿宋简体"/>
          <w:szCs w:val="32"/>
        </w:rPr>
        <w:t>10</w:t>
      </w:r>
      <w:r>
        <w:rPr>
          <w:rFonts w:hint="eastAsia" w:ascii="方正仿宋简体" w:hAnsi="方正仿宋简体" w:eastAsia="方正仿宋简体" w:cs="方正仿宋简体"/>
          <w:szCs w:val="32"/>
        </w:rPr>
        <w:t>场，并组织第十二师湘疆“石榴籽一家亲”融情实践夏令营的</w:t>
      </w:r>
      <w:r>
        <w:rPr>
          <w:rFonts w:hint="eastAsia" w:ascii="Times New Roman" w:hAnsi="Times New Roman" w:eastAsia="方正仿宋简体" w:cs="方正仿宋简体"/>
          <w:szCs w:val="32"/>
        </w:rPr>
        <w:t>45</w:t>
      </w:r>
      <w:r>
        <w:rPr>
          <w:rFonts w:hint="eastAsia" w:ascii="方正仿宋简体" w:hAnsi="方正仿宋简体" w:eastAsia="方正仿宋简体" w:cs="方正仿宋简体"/>
          <w:szCs w:val="32"/>
        </w:rPr>
        <w:t>名师生来益开展交流活动。发动市青联委员与</w:t>
      </w:r>
      <w:r>
        <w:rPr>
          <w:rFonts w:hint="eastAsia" w:ascii="Times New Roman" w:hAnsi="Times New Roman" w:eastAsia="方正仿宋简体" w:cs="方正仿宋简体"/>
          <w:szCs w:val="32"/>
        </w:rPr>
        <w:t>221</w:t>
      </w:r>
      <w:r>
        <w:rPr>
          <w:rFonts w:hint="eastAsia" w:ascii="方正仿宋简体" w:hAnsi="方正仿宋简体" w:eastAsia="方正仿宋简体" w:cs="方正仿宋简体"/>
          <w:szCs w:val="32"/>
        </w:rPr>
        <w:t>团开展深入商贸合作，助销农特产品</w:t>
      </w:r>
      <w:r>
        <w:rPr>
          <w:rFonts w:hint="eastAsia" w:ascii="Times New Roman" w:hAnsi="Times New Roman" w:eastAsia="方正仿宋简体" w:cs="方正仿宋简体"/>
          <w:szCs w:val="32"/>
        </w:rPr>
        <w:t>2000</w:t>
      </w:r>
      <w:r>
        <w:rPr>
          <w:rFonts w:hint="eastAsia" w:ascii="方正仿宋简体" w:hAnsi="方正仿宋简体" w:eastAsia="方正仿宋简体" w:cs="方正仿宋简体"/>
          <w:szCs w:val="32"/>
        </w:rPr>
        <w:t>余万元。组织青联、青企协会员赴新疆开展对口考察交流活动，并</w:t>
      </w:r>
      <w:r>
        <w:rPr>
          <w:rFonts w:hint="eastAsia" w:ascii="Times New Roman" w:hAnsi="Times New Roman" w:eastAsia="方正仿宋简体" w:cs="方正仿宋简体"/>
          <w:szCs w:val="32"/>
        </w:rPr>
        <w:t>向</w:t>
      </w:r>
      <w:r>
        <w:rPr>
          <w:rFonts w:ascii="Times New Roman" w:hAnsi="Times New Roman" w:eastAsia="方正仿宋简体" w:cs="方正仿宋简体"/>
          <w:szCs w:val="32"/>
        </w:rPr>
        <w:t>221</w:t>
      </w:r>
      <w:r>
        <w:rPr>
          <w:rFonts w:hint="eastAsia" w:ascii="Times New Roman" w:hAnsi="Times New Roman" w:eastAsia="方正仿宋简体" w:cs="方正仿宋简体"/>
          <w:szCs w:val="32"/>
        </w:rPr>
        <w:t>团</w:t>
      </w:r>
      <w:r>
        <w:rPr>
          <w:rFonts w:hint="eastAsia" w:ascii="方正仿宋简体" w:hAnsi="方正仿宋简体" w:eastAsia="方正仿宋简体" w:cs="方正仿宋简体"/>
          <w:szCs w:val="32"/>
        </w:rPr>
        <w:t>学校捐</w:t>
      </w:r>
      <w:r>
        <w:rPr>
          <w:rFonts w:ascii="Times New Roman" w:hAnsi="Times New Roman" w:eastAsia="方正仿宋简体"/>
          <w:szCs w:val="32"/>
        </w:rPr>
        <w:t>款10万元</w:t>
      </w:r>
      <w:r>
        <w:rPr>
          <w:rFonts w:hint="eastAsia" w:ascii="Times New Roman" w:hAnsi="Times New Roman" w:eastAsia="方正仿宋简体"/>
          <w:szCs w:val="32"/>
        </w:rPr>
        <w:t>用于学校建设和帮扶困难学生</w:t>
      </w:r>
      <w:r>
        <w:rPr>
          <w:rFonts w:hint="eastAsia" w:ascii="方正仿宋简体" w:hAnsi="方正仿宋简体" w:eastAsia="方正仿宋简体" w:cs="方正仿宋简体"/>
          <w:szCs w:val="32"/>
        </w:rPr>
        <w:t>。</w:t>
      </w:r>
    </w:p>
    <w:p>
      <w:pPr>
        <w:adjustRightInd w:val="0"/>
        <w:snapToGrid w:val="0"/>
        <w:spacing w:line="560" w:lineRule="exact"/>
        <w:ind w:firstLine="640"/>
        <w:rPr>
          <w:rFonts w:ascii="方正仿宋简体" w:hAnsi="方正仿宋简体" w:eastAsia="方正仿宋简体" w:cs="方正仿宋简体"/>
          <w:szCs w:val="32"/>
        </w:rPr>
      </w:pPr>
      <w:r>
        <w:rPr>
          <w:rFonts w:hint="eastAsia" w:ascii="楷体" w:hAnsi="楷体" w:eastAsia="楷体" w:cs="楷体"/>
          <w:szCs w:val="32"/>
        </w:rPr>
        <w:t>4.凝聚青年志愿力量。</w:t>
      </w:r>
      <w:r>
        <w:rPr>
          <w:rFonts w:hint="eastAsia" w:ascii="方正仿宋简体" w:hAnsi="方正仿宋简体" w:eastAsia="方正仿宋简体" w:cs="仿宋"/>
          <w:szCs w:val="32"/>
        </w:rPr>
        <w:t>开展“暖冬行动”</w:t>
      </w:r>
      <w:r>
        <w:rPr>
          <w:rFonts w:ascii="方正仿宋简体" w:hAnsi="方正仿宋简体" w:eastAsia="方正仿宋简体" w:cs="仿宋"/>
          <w:szCs w:val="32"/>
        </w:rPr>
        <w:t>，</w:t>
      </w:r>
      <w:r>
        <w:rPr>
          <w:rFonts w:hint="eastAsia" w:ascii="方正仿宋简体" w:hAnsi="方正仿宋简体" w:eastAsia="方正仿宋简体" w:cs="仿宋"/>
          <w:szCs w:val="32"/>
        </w:rPr>
        <w:t>动员</w:t>
      </w:r>
      <w:r>
        <w:rPr>
          <w:rFonts w:hint="eastAsia" w:ascii="Times New Roman" w:hAnsi="Times New Roman" w:eastAsia="方正仿宋简体" w:cs="仿宋"/>
          <w:szCs w:val="32"/>
        </w:rPr>
        <w:t>1099</w:t>
      </w:r>
      <w:r>
        <w:rPr>
          <w:rFonts w:hint="eastAsia" w:ascii="方正仿宋简体" w:hAnsi="方正仿宋简体" w:eastAsia="方正仿宋简体" w:cs="仿宋"/>
          <w:szCs w:val="32"/>
        </w:rPr>
        <w:t>名志愿者保障春运有序进行</w:t>
      </w:r>
      <w:r>
        <w:rPr>
          <w:rFonts w:ascii="方正仿宋简体" w:hAnsi="方正仿宋简体" w:eastAsia="方正仿宋简体" w:cs="仿宋"/>
          <w:szCs w:val="32"/>
        </w:rPr>
        <w:t>，</w:t>
      </w:r>
      <w:r>
        <w:rPr>
          <w:rFonts w:hint="eastAsia" w:ascii="方正仿宋简体" w:hAnsi="方正仿宋简体" w:eastAsia="方正仿宋简体" w:cs="仿宋"/>
          <w:szCs w:val="32"/>
        </w:rPr>
        <w:t>累计服务时长</w:t>
      </w:r>
      <w:r>
        <w:rPr>
          <w:rFonts w:hint="eastAsia" w:ascii="Times New Roman" w:hAnsi="Times New Roman" w:eastAsia="方正仿宋简体" w:cs="仿宋"/>
          <w:szCs w:val="32"/>
        </w:rPr>
        <w:t>15959</w:t>
      </w:r>
      <w:r>
        <w:rPr>
          <w:rFonts w:hint="eastAsia" w:ascii="方正仿宋简体" w:hAnsi="方正仿宋简体" w:eastAsia="方正仿宋简体" w:cs="仿宋"/>
          <w:szCs w:val="32"/>
        </w:rPr>
        <w:t>小时。引导青年志愿者、“返家乡”大学生</w:t>
      </w:r>
      <w:r>
        <w:rPr>
          <w:rFonts w:hint="eastAsia" w:ascii="Times New Roman" w:hAnsi="Times New Roman" w:eastAsia="方正仿宋简体" w:cs="仿宋"/>
          <w:szCs w:val="32"/>
        </w:rPr>
        <w:t>6493</w:t>
      </w:r>
      <w:r>
        <w:rPr>
          <w:rFonts w:hint="eastAsia" w:ascii="方正仿宋简体" w:hAnsi="方正仿宋简体" w:eastAsia="方正仿宋简体" w:cs="仿宋"/>
          <w:szCs w:val="32"/>
        </w:rPr>
        <w:t>人开展扫雪除冰志愿服务。</w:t>
      </w:r>
      <w:r>
        <w:rPr>
          <w:rFonts w:hint="eastAsia" w:ascii="Times New Roman" w:hAnsi="Times New Roman" w:eastAsia="方正仿宋简体"/>
          <w:szCs w:val="32"/>
        </w:rPr>
        <w:t>全市各级河小青行动中心、社会组织开展活动694场、共18245人参与，累计公益时长14782小时。持续组织开展</w:t>
      </w:r>
      <w:r>
        <w:rPr>
          <w:rFonts w:hint="eastAsia" w:ascii="方正仿宋简体" w:hAnsi="方正仿宋简体" w:eastAsia="方正仿宋简体" w:cs="方正仿宋简体"/>
          <w:szCs w:val="32"/>
        </w:rPr>
        <w:t>“三下乡”“七彩假期”活动，充分发挥校地团建共建优势，构建团组织引领下的“乡村+高校师生+社会组织（爱心力量）”的志愿服务体系，</w:t>
      </w:r>
      <w:r>
        <w:rPr>
          <w:rFonts w:ascii="Times New Roman" w:hAnsi="Times New Roman" w:eastAsia="方正仿宋简体"/>
          <w:szCs w:val="32"/>
        </w:rPr>
        <w:t>联系</w:t>
      </w:r>
      <w:r>
        <w:rPr>
          <w:rFonts w:hint="eastAsia" w:ascii="Times New Roman" w:hAnsi="Times New Roman" w:eastAsia="方正仿宋简体"/>
          <w:szCs w:val="32"/>
        </w:rPr>
        <w:t>121</w:t>
      </w:r>
      <w:r>
        <w:rPr>
          <w:rFonts w:ascii="Times New Roman" w:hAnsi="Times New Roman" w:eastAsia="方正仿宋简体"/>
          <w:szCs w:val="32"/>
        </w:rPr>
        <w:t>余支大学生队伍开展下乡实践活动</w:t>
      </w:r>
      <w:r>
        <w:rPr>
          <w:rFonts w:hint="eastAsia" w:ascii="Times New Roman" w:hAnsi="Times New Roman" w:eastAsia="方正仿宋简体"/>
          <w:szCs w:val="32"/>
        </w:rPr>
        <w:t>，共</w:t>
      </w:r>
      <w:r>
        <w:rPr>
          <w:rFonts w:hint="eastAsia" w:ascii="方正仿宋简体" w:hAnsi="方正仿宋简体" w:eastAsia="方正仿宋简体" w:cs="方正仿宋简体"/>
          <w:szCs w:val="32"/>
        </w:rPr>
        <w:t>开展未成年人暑期陪护活动</w:t>
      </w:r>
      <w:r>
        <w:rPr>
          <w:rFonts w:hint="eastAsia" w:ascii="Times New Roman" w:hAnsi="Times New Roman" w:eastAsia="方正仿宋简体" w:cs="方正仿宋简体"/>
          <w:szCs w:val="32"/>
        </w:rPr>
        <w:t>599</w:t>
      </w:r>
      <w:r>
        <w:rPr>
          <w:rFonts w:hint="eastAsia" w:ascii="方正仿宋简体" w:hAnsi="方正仿宋简体" w:eastAsia="方正仿宋简体" w:cs="方正仿宋简体"/>
          <w:szCs w:val="32"/>
        </w:rPr>
        <w:t>场，覆盖</w:t>
      </w:r>
      <w:r>
        <w:rPr>
          <w:rFonts w:hint="eastAsia" w:ascii="Times New Roman" w:hAnsi="Times New Roman" w:eastAsia="方正仿宋简体" w:cs="方正仿宋简体"/>
          <w:szCs w:val="32"/>
        </w:rPr>
        <w:t>43</w:t>
      </w:r>
      <w:r>
        <w:rPr>
          <w:rFonts w:hint="eastAsia" w:ascii="方正仿宋简体" w:hAnsi="方正仿宋简体" w:eastAsia="方正仿宋简体" w:cs="方正仿宋简体"/>
          <w:szCs w:val="32"/>
        </w:rPr>
        <w:t>个乡镇（街道）</w:t>
      </w:r>
      <w:r>
        <w:rPr>
          <w:rFonts w:hint="eastAsia" w:ascii="Times New Roman" w:hAnsi="Times New Roman" w:eastAsia="方正仿宋简体" w:cs="方正仿宋简体"/>
          <w:szCs w:val="32"/>
        </w:rPr>
        <w:t>179</w:t>
      </w:r>
      <w:r>
        <w:rPr>
          <w:rFonts w:hint="eastAsia" w:ascii="方正仿宋简体" w:hAnsi="方正仿宋简体" w:eastAsia="方正仿宋简体" w:cs="方正仿宋简体"/>
          <w:szCs w:val="32"/>
        </w:rPr>
        <w:t>个村（社区），服务未成年人</w:t>
      </w:r>
      <w:r>
        <w:rPr>
          <w:rFonts w:hint="eastAsia" w:ascii="Times New Roman" w:hAnsi="Times New Roman" w:eastAsia="方正仿宋简体" w:cs="方正仿宋简体"/>
          <w:szCs w:val="32"/>
        </w:rPr>
        <w:t>16348</w:t>
      </w:r>
      <w:r>
        <w:rPr>
          <w:rFonts w:hint="eastAsia" w:ascii="方正仿宋简体" w:hAnsi="方正仿宋简体" w:eastAsia="方正仿宋简体" w:cs="方正仿宋简体"/>
          <w:szCs w:val="32"/>
        </w:rPr>
        <w:t>人次。坚持开展“伙伴计划”活动</w:t>
      </w:r>
      <w:r>
        <w:rPr>
          <w:rFonts w:ascii="Times New Roman" w:hAnsi="Times New Roman" w:eastAsia="方正仿宋简体"/>
          <w:szCs w:val="32"/>
        </w:rPr>
        <w:t>140场，参与青年志愿者551人，累计服务时长5120小时，服务青少年4759人</w:t>
      </w:r>
      <w:r>
        <w:rPr>
          <w:rFonts w:hint="eastAsia" w:ascii="方正仿宋简体" w:hAnsi="方正仿宋简体" w:eastAsia="方正仿宋简体" w:cs="方正仿宋简体"/>
          <w:szCs w:val="32"/>
        </w:rPr>
        <w:t>次。</w:t>
      </w:r>
    </w:p>
    <w:p>
      <w:pPr>
        <w:adjustRightInd w:val="0"/>
        <w:snapToGrid w:val="0"/>
        <w:spacing w:line="560" w:lineRule="exact"/>
        <w:ind w:firstLine="640" w:firstLineChars="200"/>
        <w:rPr>
          <w:rFonts w:ascii="黑体" w:hAnsi="黑体" w:eastAsia="黑体" w:cs="黑体"/>
          <w:szCs w:val="32"/>
        </w:rPr>
      </w:pPr>
      <w:r>
        <w:rPr>
          <w:rFonts w:hint="eastAsia" w:ascii="黑体" w:hAnsi="黑体" w:eastAsia="黑体" w:cs="黑体"/>
          <w:szCs w:val="32"/>
        </w:rPr>
        <w:t>（四）紧扣青年发展需求，在用心服务中锤炼青春本领</w:t>
      </w:r>
    </w:p>
    <w:p>
      <w:pPr>
        <w:adjustRightInd w:val="0"/>
        <w:snapToGrid w:val="0"/>
        <w:spacing w:line="560" w:lineRule="exact"/>
        <w:ind w:firstLine="640"/>
        <w:rPr>
          <w:rFonts w:ascii="方正仿宋简体" w:hAnsi="方正仿宋简体" w:eastAsia="方正仿宋简体" w:cs="方正仿宋简体"/>
          <w:szCs w:val="32"/>
        </w:rPr>
      </w:pPr>
      <w:r>
        <w:rPr>
          <w:rFonts w:hint="eastAsia" w:ascii="楷体" w:hAnsi="楷体" w:eastAsia="楷体" w:cs="楷体"/>
          <w:szCs w:val="32"/>
        </w:rPr>
        <w:t>1.纵深推进青年发展型城市建设。</w:t>
      </w:r>
      <w:r>
        <w:rPr>
          <w:rFonts w:hint="eastAsia" w:ascii="方正仿宋简体" w:hAnsi="方正仿宋简体" w:eastAsia="方正仿宋简体" w:cs="方正仿宋简体"/>
          <w:szCs w:val="32"/>
        </w:rPr>
        <w:t>牵头制定出台《益阳市青年发展型城市建设试点实施方案》</w:t>
      </w:r>
      <w:r>
        <w:rPr>
          <w:rFonts w:ascii="方正仿宋简体" w:hAnsi="方正仿宋简体" w:eastAsia="方正仿宋简体" w:cs="方正仿宋简体"/>
          <w:szCs w:val="32"/>
        </w:rPr>
        <w:t>等</w:t>
      </w:r>
      <w:r>
        <w:rPr>
          <w:rFonts w:hint="eastAsia" w:ascii="方正仿宋简体" w:hAnsi="方正仿宋简体" w:eastAsia="方正仿宋简体" w:cs="方正仿宋简体"/>
          <w:szCs w:val="32"/>
        </w:rPr>
        <w:t>文件，健全青年发展体制机制，推动《规划》纵深实施。</w:t>
      </w:r>
      <w:r>
        <w:rPr>
          <w:rFonts w:hint="eastAsia" w:ascii="Times New Roman" w:hAnsi="Times New Roman" w:eastAsia="方正仿宋简体"/>
          <w:szCs w:val="32"/>
        </w:rPr>
        <w:t>探索“文旅推介+青年交友”模式，全市开展“青春有约”青年交友系列活动24场，1704名青年参与，72名青年成功结对。</w:t>
      </w:r>
      <w:r>
        <w:rPr>
          <w:rFonts w:hint="eastAsia" w:ascii="Times New Roman" w:hAnsi="Times New Roman" w:eastAsia="方正仿宋简体" w:cs="方正仿宋简体"/>
          <w:color w:val="000000"/>
          <w:szCs w:val="32"/>
        </w:rPr>
        <w:t>打造青年夜校品牌，全市共开设“青年夜校”22个，开设创新创业、羽毛球、瑜伽、茶艺鉴赏、非遗传承、摄影摄像等30余门课程，吸引超过1万余名青年参与</w:t>
      </w:r>
      <w:r>
        <w:rPr>
          <w:rFonts w:hint="eastAsia" w:ascii="Times New Roman" w:hAnsi="Times New Roman" w:eastAsia="方正仿宋简体" w:cs="方正仿宋简体"/>
          <w:szCs w:val="32"/>
        </w:rPr>
        <w:t>，《中国共青团》杂志、青年湖南、新湖南等主流媒体宣传报道23次。举办2024年益阳共青团“两企三新”领域青年交流沙龙暨关爱“</w:t>
      </w:r>
      <w:r>
        <w:rPr>
          <w:rFonts w:hint="eastAsia" w:ascii="Times New Roman" w:hAnsi="Times New Roman" w:eastAsia="方正仿宋简体" w:cs="方正仿宋简体"/>
          <w:color w:val="000000"/>
          <w:szCs w:val="32"/>
        </w:rPr>
        <w:t>快递小哥”示范性活动，成立“益阳市物流和快递青年志愿服务队”。聚焦大学生创新创业</w:t>
      </w:r>
      <w:r>
        <w:rPr>
          <w:rFonts w:hint="eastAsia" w:ascii="方正仿宋简体" w:hAnsi="方正仿宋简体" w:eastAsia="方正仿宋简体" w:cs="方正仿宋简体"/>
          <w:szCs w:val="32"/>
        </w:rPr>
        <w:t>，组建青创导师队伍，为全市各大孵化基地提供政策咨询、创业培训等服务，今年已累计开展培训活动</w:t>
      </w:r>
      <w:r>
        <w:rPr>
          <w:rFonts w:hint="eastAsia" w:ascii="Times New Roman" w:hAnsi="Times New Roman" w:eastAsia="方正仿宋简体" w:cs="方正仿宋简体"/>
          <w:szCs w:val="32"/>
        </w:rPr>
        <w:t>70</w:t>
      </w:r>
      <w:r>
        <w:rPr>
          <w:rFonts w:hint="eastAsia" w:ascii="方正仿宋简体" w:hAnsi="方正仿宋简体" w:eastAsia="方正仿宋简体" w:cs="方正仿宋简体"/>
          <w:szCs w:val="32"/>
        </w:rPr>
        <w:t>余场，培训人数</w:t>
      </w:r>
      <w:r>
        <w:rPr>
          <w:rFonts w:hint="eastAsia" w:ascii="Times New Roman" w:hAnsi="Times New Roman" w:eastAsia="方正仿宋简体" w:cs="方正仿宋简体"/>
          <w:szCs w:val="32"/>
        </w:rPr>
        <w:t>4700</w:t>
      </w:r>
      <w:r>
        <w:rPr>
          <w:rFonts w:hint="eastAsia" w:ascii="方正仿宋简体" w:hAnsi="方正仿宋简体" w:eastAsia="方正仿宋简体" w:cs="方正仿宋简体"/>
          <w:szCs w:val="32"/>
        </w:rPr>
        <w:t>余人；面向高校毕业生、新兴青年等群体开展</w:t>
      </w:r>
      <w:r>
        <w:rPr>
          <w:rFonts w:hint="eastAsia" w:ascii="Times New Roman" w:hAnsi="Times New Roman" w:eastAsia="方正仿宋简体" w:cs="方正仿宋简体"/>
          <w:szCs w:val="32"/>
        </w:rPr>
        <w:t>20</w:t>
      </w:r>
      <w:r>
        <w:rPr>
          <w:rFonts w:hint="eastAsia" w:ascii="方正仿宋简体" w:hAnsi="方正仿宋简体" w:eastAsia="方正仿宋简体" w:cs="方正仿宋简体"/>
          <w:szCs w:val="32"/>
        </w:rPr>
        <w:t>场“金桥行动”专场招聘，提供岗位</w:t>
      </w:r>
      <w:r>
        <w:rPr>
          <w:rFonts w:hint="eastAsia" w:ascii="Times New Roman" w:hAnsi="Times New Roman" w:eastAsia="方正仿宋简体" w:cs="方正仿宋简体"/>
          <w:szCs w:val="32"/>
        </w:rPr>
        <w:t>1</w:t>
      </w:r>
      <w:r>
        <w:rPr>
          <w:rFonts w:hint="eastAsia" w:ascii="方正仿宋简体" w:hAnsi="方正仿宋简体" w:eastAsia="方正仿宋简体" w:cs="方正仿宋简体"/>
          <w:szCs w:val="32"/>
        </w:rPr>
        <w:t>.</w:t>
      </w:r>
      <w:r>
        <w:rPr>
          <w:rFonts w:hint="eastAsia" w:ascii="Times New Roman" w:hAnsi="Times New Roman" w:eastAsia="方正仿宋简体" w:cs="方正仿宋简体"/>
          <w:szCs w:val="32"/>
        </w:rPr>
        <w:t>3</w:t>
      </w:r>
      <w:r>
        <w:rPr>
          <w:rFonts w:hint="eastAsia" w:ascii="方正仿宋简体" w:hAnsi="方正仿宋简体" w:eastAsia="方正仿宋简体" w:cs="方正仿宋简体"/>
          <w:szCs w:val="32"/>
        </w:rPr>
        <w:t>万个，达成就业意向</w:t>
      </w:r>
      <w:r>
        <w:rPr>
          <w:rFonts w:hint="eastAsia" w:ascii="Times New Roman" w:hAnsi="Times New Roman" w:eastAsia="方正仿宋简体" w:cs="方正仿宋简体"/>
          <w:szCs w:val="32"/>
        </w:rPr>
        <w:t>1761</w:t>
      </w:r>
      <w:r>
        <w:rPr>
          <w:rFonts w:hint="eastAsia" w:ascii="方正仿宋简体" w:hAnsi="方正仿宋简体" w:eastAsia="方正仿宋简体" w:cs="方正仿宋简体"/>
          <w:szCs w:val="32"/>
        </w:rPr>
        <w:t>人；举办湖南省大学生创业投资基金进校园市州首场活动，邀请全市“挑战杯”“创青春”大学生优质创业项目参加展演，促进全市大学生创业项目落地转化，做好“青创赛”的后半篇文章；承办第七届中非民间论坛、第七届中非青年领导人论坛平行论坛——青年发展与创新创业论坛；开展“‘益’起创青春，携手向未来”全市青年干部与青年企业家、创业青年“面对面”交流沙龙，畅通政企沟通交流渠道。强化创新支持，围绕全市“</w:t>
      </w:r>
      <w:r>
        <w:rPr>
          <w:rFonts w:hint="eastAsia" w:ascii="Times New Roman" w:hAnsi="Times New Roman" w:eastAsia="方正仿宋简体" w:cs="方正仿宋简体"/>
          <w:szCs w:val="32"/>
        </w:rPr>
        <w:t>334</w:t>
      </w:r>
      <w:r>
        <w:rPr>
          <w:rFonts w:hint="eastAsia" w:ascii="方正仿宋简体" w:hAnsi="方正仿宋简体" w:eastAsia="方正仿宋简体" w:cs="方正仿宋简体"/>
          <w:szCs w:val="32"/>
        </w:rPr>
        <w:t>”产业体系，抓好“人才新政</w:t>
      </w:r>
      <w:r>
        <w:rPr>
          <w:rFonts w:hint="eastAsia" w:ascii="Times New Roman" w:hAnsi="Times New Roman" w:eastAsia="方正仿宋简体" w:cs="方正仿宋简体"/>
          <w:szCs w:val="32"/>
        </w:rPr>
        <w:t>25</w:t>
      </w:r>
      <w:r>
        <w:rPr>
          <w:rFonts w:hint="eastAsia" w:ascii="方正仿宋简体" w:hAnsi="方正仿宋简体" w:eastAsia="方正仿宋简体" w:cs="方正仿宋简体"/>
          <w:szCs w:val="32"/>
        </w:rPr>
        <w:t>条”和“支持产业人才</w:t>
      </w:r>
      <w:r>
        <w:rPr>
          <w:rFonts w:hint="eastAsia" w:ascii="Times New Roman" w:hAnsi="Times New Roman" w:eastAsia="方正仿宋简体" w:cs="方正仿宋简体"/>
          <w:szCs w:val="32"/>
        </w:rPr>
        <w:t>20</w:t>
      </w:r>
      <w:r>
        <w:rPr>
          <w:rFonts w:hint="eastAsia" w:ascii="方正仿宋简体" w:hAnsi="方正仿宋简体" w:eastAsia="方正仿宋简体" w:cs="方正仿宋简体"/>
          <w:szCs w:val="32"/>
        </w:rPr>
        <w:t>条”等政策的落地落实，不断优化人才创新环境。</w:t>
      </w:r>
    </w:p>
    <w:p>
      <w:pPr>
        <w:adjustRightInd w:val="0"/>
        <w:snapToGrid w:val="0"/>
        <w:spacing w:line="560" w:lineRule="exact"/>
        <w:ind w:firstLine="640" w:firstLineChars="200"/>
        <w:rPr>
          <w:rFonts w:ascii="方正仿宋简体" w:hAnsi="方正仿宋简体" w:eastAsia="方正仿宋简体" w:cs="仿宋_GB2312"/>
          <w:szCs w:val="32"/>
        </w:rPr>
      </w:pPr>
      <w:r>
        <w:rPr>
          <w:rFonts w:hint="eastAsia" w:ascii="楷体" w:hAnsi="楷体" w:eastAsia="楷体" w:cs="楷体"/>
          <w:szCs w:val="32"/>
        </w:rPr>
        <w:t>2.坚持选树青年典型。</w:t>
      </w:r>
      <w:r>
        <w:rPr>
          <w:rFonts w:hint="eastAsia" w:ascii="方正仿宋简体" w:hAnsi="方正仿宋简体" w:eastAsia="方正仿宋简体" w:cs="方正仿宋简体"/>
          <w:szCs w:val="32"/>
        </w:rPr>
        <w:t>开展</w:t>
      </w:r>
      <w:r>
        <w:rPr>
          <w:rFonts w:hint="eastAsia" w:ascii="Times New Roman" w:hAnsi="Times New Roman" w:eastAsia="方正仿宋简体" w:cs="方正仿宋简体"/>
          <w:szCs w:val="32"/>
        </w:rPr>
        <w:t>2023</w:t>
      </w:r>
      <w:r>
        <w:rPr>
          <w:rFonts w:hint="eastAsia" w:ascii="方正仿宋简体" w:hAnsi="方正仿宋简体" w:eastAsia="方正仿宋简体" w:cs="方正仿宋简体"/>
          <w:szCs w:val="32"/>
        </w:rPr>
        <w:t>-</w:t>
      </w:r>
      <w:r>
        <w:rPr>
          <w:rFonts w:hint="eastAsia" w:ascii="Times New Roman" w:hAnsi="Times New Roman" w:eastAsia="方正仿宋简体" w:cs="方正仿宋简体"/>
          <w:szCs w:val="32"/>
        </w:rPr>
        <w:t>2024</w:t>
      </w:r>
      <w:r>
        <w:rPr>
          <w:rFonts w:hint="eastAsia" w:ascii="方正仿宋简体" w:hAnsi="方正仿宋简体" w:eastAsia="方正仿宋简体" w:cs="方正仿宋简体"/>
          <w:szCs w:val="32"/>
        </w:rPr>
        <w:t>年度益阳市青年文明号、青年岗位能手评选活动，评选出青年文明号</w:t>
      </w:r>
      <w:r>
        <w:rPr>
          <w:rFonts w:hint="eastAsia" w:ascii="Times New Roman" w:hAnsi="Times New Roman" w:eastAsia="方正仿宋简体" w:cs="方正仿宋简体"/>
          <w:szCs w:val="32"/>
        </w:rPr>
        <w:t>39</w:t>
      </w:r>
      <w:r>
        <w:rPr>
          <w:rFonts w:hint="eastAsia" w:ascii="方正仿宋简体" w:hAnsi="方正仿宋简体" w:eastAsia="方正仿宋简体" w:cs="方正仿宋简体"/>
          <w:szCs w:val="32"/>
        </w:rPr>
        <w:t>个，青年岗位能手</w:t>
      </w:r>
      <w:r>
        <w:rPr>
          <w:rFonts w:hint="eastAsia" w:ascii="Times New Roman" w:hAnsi="Times New Roman" w:eastAsia="方正仿宋简体" w:cs="方正仿宋简体"/>
          <w:szCs w:val="32"/>
        </w:rPr>
        <w:t>33</w:t>
      </w:r>
      <w:r>
        <w:rPr>
          <w:rFonts w:hint="eastAsia" w:ascii="方正仿宋简体" w:hAnsi="方正仿宋简体" w:eastAsia="方正仿宋简体" w:cs="方正仿宋简体"/>
          <w:szCs w:val="32"/>
        </w:rPr>
        <w:t>个；</w:t>
      </w:r>
      <w:r>
        <w:rPr>
          <w:rFonts w:hint="eastAsia" w:ascii="Times New Roman" w:hAnsi="Times New Roman" w:eastAsia="方正仿宋简体" w:cs="方正仿宋简体"/>
          <w:szCs w:val="32"/>
        </w:rPr>
        <w:t>4</w:t>
      </w:r>
      <w:r>
        <w:rPr>
          <w:rFonts w:hint="eastAsia" w:ascii="方正仿宋简体" w:hAnsi="方正仿宋简体" w:eastAsia="方正仿宋简体" w:cs="方正仿宋简体"/>
          <w:szCs w:val="32"/>
        </w:rPr>
        <w:t>个集体荣获第</w:t>
      </w:r>
      <w:r>
        <w:rPr>
          <w:rFonts w:hint="eastAsia" w:ascii="Times New Roman" w:hAnsi="Times New Roman" w:eastAsia="方正仿宋简体" w:cs="方正仿宋简体"/>
          <w:szCs w:val="32"/>
        </w:rPr>
        <w:t>23</w:t>
      </w:r>
      <w:r>
        <w:rPr>
          <w:rFonts w:hint="eastAsia" w:ascii="方正仿宋简体" w:hAnsi="方正仿宋简体" w:eastAsia="方正仿宋简体" w:cs="方正仿宋简体"/>
          <w:szCs w:val="32"/>
        </w:rPr>
        <w:t>届湖南省青年文明号，</w:t>
      </w:r>
      <w:r>
        <w:rPr>
          <w:rFonts w:hint="eastAsia" w:ascii="Times New Roman" w:hAnsi="Times New Roman" w:eastAsia="方正仿宋简体" w:cs="方正仿宋简体"/>
          <w:szCs w:val="32"/>
        </w:rPr>
        <w:t>1</w:t>
      </w:r>
      <w:r>
        <w:rPr>
          <w:rFonts w:hint="eastAsia" w:ascii="方正仿宋简体" w:hAnsi="方正仿宋简体" w:eastAsia="方正仿宋简体" w:cs="方正仿宋简体"/>
          <w:szCs w:val="32"/>
        </w:rPr>
        <w:t>人入选第</w:t>
      </w:r>
      <w:r>
        <w:rPr>
          <w:rFonts w:hint="eastAsia" w:ascii="Times New Roman" w:hAnsi="Times New Roman" w:eastAsia="方正仿宋简体" w:cs="方正仿宋简体"/>
          <w:szCs w:val="32"/>
        </w:rPr>
        <w:t>22</w:t>
      </w:r>
      <w:r>
        <w:rPr>
          <w:rFonts w:hint="eastAsia" w:ascii="方正仿宋简体" w:hAnsi="方正仿宋简体" w:eastAsia="方正仿宋简体" w:cs="方正仿宋简体"/>
          <w:szCs w:val="32"/>
        </w:rPr>
        <w:t>届全国青年岗位能手推荐候选人名单。</w:t>
      </w:r>
      <w:r>
        <w:rPr>
          <w:rFonts w:hint="eastAsia" w:ascii="Times New Roman" w:hAnsi="Times New Roman" w:eastAsia="方正仿宋简体" w:cs="方正仿宋简体"/>
          <w:szCs w:val="32"/>
        </w:rPr>
        <w:t>1</w:t>
      </w:r>
      <w:r>
        <w:rPr>
          <w:rFonts w:hint="eastAsia" w:ascii="方正仿宋简体" w:hAnsi="方正仿宋简体" w:eastAsia="方正仿宋简体" w:cs="方正仿宋简体"/>
          <w:szCs w:val="32"/>
        </w:rPr>
        <w:t>个集体荣获</w:t>
      </w:r>
      <w:r>
        <w:rPr>
          <w:rFonts w:hint="eastAsia" w:ascii="Times New Roman" w:hAnsi="Times New Roman" w:eastAsia="方正仿宋简体" w:cs="方正仿宋简体"/>
          <w:szCs w:val="32"/>
        </w:rPr>
        <w:t>2023</w:t>
      </w:r>
      <w:r>
        <w:rPr>
          <w:rFonts w:hint="eastAsia" w:ascii="方正仿宋简体" w:hAnsi="方正仿宋简体" w:eastAsia="方正仿宋简体" w:cs="方正仿宋简体"/>
          <w:szCs w:val="32"/>
        </w:rPr>
        <w:t>年度全国青年安全生产示范岗。</w:t>
      </w:r>
      <w:r>
        <w:rPr>
          <w:rFonts w:hint="eastAsia" w:ascii="方正仿宋简体" w:hAnsi="方正仿宋简体" w:eastAsia="方正仿宋简体" w:cs="仿宋_GB2312"/>
          <w:szCs w:val="32"/>
        </w:rPr>
        <w:t>推报</w:t>
      </w:r>
      <w:r>
        <w:rPr>
          <w:rFonts w:hint="eastAsia" w:ascii="Times New Roman" w:hAnsi="Times New Roman" w:eastAsia="方正仿宋简体" w:cs="仿宋_GB2312"/>
          <w:szCs w:val="32"/>
        </w:rPr>
        <w:t>1</w:t>
      </w:r>
      <w:r>
        <w:rPr>
          <w:rFonts w:hint="eastAsia" w:ascii="方正仿宋简体" w:hAnsi="方正仿宋简体" w:eastAsia="方正仿宋简体" w:cs="仿宋_GB2312"/>
          <w:szCs w:val="32"/>
        </w:rPr>
        <w:t>个集体、</w:t>
      </w:r>
      <w:r>
        <w:rPr>
          <w:rFonts w:hint="eastAsia" w:ascii="Times New Roman" w:hAnsi="Times New Roman" w:eastAsia="方正仿宋简体" w:cs="仿宋_GB2312"/>
          <w:szCs w:val="32"/>
        </w:rPr>
        <w:t>2</w:t>
      </w:r>
      <w:r>
        <w:rPr>
          <w:rFonts w:hint="eastAsia" w:ascii="方正仿宋简体" w:hAnsi="方正仿宋简体" w:eastAsia="方正仿宋简体" w:cs="仿宋_GB2312"/>
          <w:szCs w:val="32"/>
        </w:rPr>
        <w:t>个个人获得全国双红双优荣誉</w:t>
      </w:r>
      <w:r>
        <w:rPr>
          <w:rFonts w:ascii="方正仿宋简体" w:hAnsi="方正仿宋简体" w:eastAsia="方正仿宋简体" w:cs="仿宋_GB2312"/>
          <w:szCs w:val="32"/>
        </w:rPr>
        <w:t>。</w:t>
      </w:r>
      <w:r>
        <w:rPr>
          <w:rFonts w:hint="eastAsia" w:ascii="方正仿宋简体" w:hAnsi="方正仿宋简体" w:eastAsia="方正仿宋简体" w:cs="仿宋_GB2312"/>
          <w:szCs w:val="32"/>
        </w:rPr>
        <w:t>开展</w:t>
      </w:r>
      <w:r>
        <w:rPr>
          <w:rFonts w:ascii="方正仿宋简体" w:hAnsi="方正仿宋简体" w:eastAsia="方正仿宋简体" w:cs="仿宋_GB2312"/>
          <w:szCs w:val="32"/>
        </w:rPr>
        <w:t>第</w:t>
      </w:r>
      <w:r>
        <w:rPr>
          <w:rFonts w:hint="eastAsia" w:ascii="方正仿宋简体" w:hAnsi="方正仿宋简体" w:eastAsia="方正仿宋简体" w:cs="仿宋_GB2312"/>
          <w:szCs w:val="32"/>
        </w:rPr>
        <w:t>三</w:t>
      </w:r>
      <w:r>
        <w:rPr>
          <w:rFonts w:ascii="方正仿宋简体" w:hAnsi="方正仿宋简体" w:eastAsia="方正仿宋简体" w:cs="仿宋_GB2312"/>
          <w:szCs w:val="32"/>
        </w:rPr>
        <w:t>届“银城青年</w:t>
      </w:r>
      <w:r>
        <w:rPr>
          <w:rFonts w:hint="eastAsia" w:ascii="方正仿宋简体" w:hAnsi="方正仿宋简体" w:eastAsia="方正仿宋简体" w:cs="仿宋_GB2312"/>
          <w:szCs w:val="32"/>
        </w:rPr>
        <w:t>人</w:t>
      </w:r>
      <w:r>
        <w:rPr>
          <w:rFonts w:ascii="方正仿宋简体" w:hAnsi="方正仿宋简体" w:eastAsia="方正仿宋简体" w:cs="仿宋_GB2312"/>
          <w:szCs w:val="32"/>
        </w:rPr>
        <w:t>才”</w:t>
      </w:r>
      <w:r>
        <w:rPr>
          <w:rFonts w:hint="eastAsia" w:ascii="方正仿宋简体" w:hAnsi="方正仿宋简体" w:eastAsia="方正仿宋简体" w:cs="仿宋_GB2312"/>
          <w:szCs w:val="32"/>
        </w:rPr>
        <w:t>培育工作，</w:t>
      </w:r>
      <w:r>
        <w:rPr>
          <w:rFonts w:hint="eastAsia" w:ascii="Times New Roman" w:hAnsi="Times New Roman" w:eastAsia="方正仿宋简体" w:cs="仿宋_GB2312"/>
          <w:szCs w:val="32"/>
        </w:rPr>
        <w:t>评选“银城青年人才”10</w:t>
      </w:r>
      <w:r>
        <w:rPr>
          <w:rFonts w:ascii="方正仿宋简体" w:hAnsi="方正仿宋简体" w:eastAsia="方正仿宋简体" w:cs="仿宋_GB2312"/>
          <w:szCs w:val="32"/>
        </w:rPr>
        <w:t>人</w:t>
      </w:r>
      <w:r>
        <w:rPr>
          <w:rFonts w:hint="eastAsia" w:ascii="方正仿宋简体" w:hAnsi="方正仿宋简体" w:eastAsia="方正仿宋简体" w:cs="仿宋_GB2312"/>
          <w:szCs w:val="32"/>
        </w:rPr>
        <w:t>；推荐</w:t>
      </w:r>
      <w:r>
        <w:rPr>
          <w:rFonts w:ascii="Times New Roman" w:hAnsi="Times New Roman" w:eastAsia="方正仿宋简体"/>
          <w:szCs w:val="32"/>
        </w:rPr>
        <w:t>2</w:t>
      </w:r>
      <w:r>
        <w:rPr>
          <w:rFonts w:hint="eastAsia" w:ascii="方正仿宋简体" w:hAnsi="方正仿宋简体" w:eastAsia="方正仿宋简体" w:cs="仿宋_GB2312"/>
          <w:szCs w:val="32"/>
        </w:rPr>
        <w:t>人获评</w:t>
      </w:r>
      <w:r>
        <w:rPr>
          <w:rFonts w:ascii="方正仿宋简体" w:hAnsi="方正仿宋简体" w:eastAsia="方正仿宋简体" w:cs="仿宋_GB2312"/>
          <w:szCs w:val="32"/>
        </w:rPr>
        <w:t>“</w:t>
      </w:r>
      <w:r>
        <w:rPr>
          <w:rFonts w:hint="eastAsia" w:ascii="方正仿宋简体" w:hAnsi="方正仿宋简体" w:eastAsia="方正仿宋简体" w:cs="仿宋_GB2312"/>
          <w:szCs w:val="32"/>
        </w:rPr>
        <w:t>芙蓉计划</w:t>
      </w:r>
      <w:r>
        <w:rPr>
          <w:rFonts w:ascii="方正仿宋简体" w:hAnsi="方正仿宋简体" w:eastAsia="方正仿宋简体" w:cs="仿宋_GB2312"/>
          <w:szCs w:val="32"/>
        </w:rPr>
        <w:t>”</w:t>
      </w:r>
      <w:r>
        <w:rPr>
          <w:rFonts w:hint="eastAsia" w:ascii="方正仿宋简体" w:hAnsi="方正仿宋简体" w:eastAsia="方正仿宋简体" w:cs="仿宋_GB2312"/>
          <w:szCs w:val="32"/>
        </w:rPr>
        <w:t>青年人才项目。</w:t>
      </w:r>
    </w:p>
    <w:p>
      <w:pPr>
        <w:spacing w:line="580" w:lineRule="exact"/>
        <w:ind w:firstLine="640" w:firstLineChars="200"/>
        <w:rPr>
          <w:rFonts w:ascii="Times New Roman" w:hAnsi="Times New Roman" w:eastAsia="方正仿宋简体" w:cs="仿宋_GB2312"/>
          <w:szCs w:val="32"/>
        </w:rPr>
      </w:pPr>
      <w:r>
        <w:rPr>
          <w:rFonts w:hint="eastAsia" w:ascii="楷体" w:hAnsi="楷体" w:eastAsia="楷体" w:cs="楷体"/>
          <w:szCs w:val="32"/>
        </w:rPr>
        <w:t>3.关心关爱青少年健康成长。</w:t>
      </w:r>
      <w:r>
        <w:rPr>
          <w:rFonts w:hint="eastAsia" w:ascii="方正仿宋简体" w:hAnsi="方正仿宋简体" w:eastAsia="方正仿宋简体" w:cs="方正仿宋简体"/>
          <w:szCs w:val="32"/>
        </w:rPr>
        <w:t>持续开展捐资助学，益阳市青少年发展基金会本年度共募集资</w:t>
      </w:r>
      <w:r>
        <w:rPr>
          <w:rFonts w:hint="eastAsia" w:ascii="Times New Roman" w:hAnsi="Times New Roman" w:eastAsia="方正仿宋简体" w:cs="方正仿宋简体"/>
          <w:szCs w:val="32"/>
        </w:rPr>
        <w:t>金800万元，资助</w:t>
      </w:r>
      <w:r>
        <w:rPr>
          <w:rFonts w:hint="eastAsia" w:ascii="方正仿宋简体" w:hAnsi="方正仿宋简体" w:eastAsia="方正仿宋简体" w:cs="方正仿宋简体"/>
          <w:szCs w:val="32"/>
        </w:rPr>
        <w:t>慰问困难少</w:t>
      </w:r>
      <w:r>
        <w:rPr>
          <w:rFonts w:hint="eastAsia" w:ascii="方正仿宋简体" w:hAnsi="方正仿宋简体" w:eastAsia="方正仿宋简体" w:cs="仿宋_GB2312"/>
          <w:szCs w:val="32"/>
        </w:rPr>
        <w:t>年儿</w:t>
      </w:r>
      <w:r>
        <w:rPr>
          <w:rFonts w:hint="eastAsia" w:ascii="Times New Roman" w:hAnsi="Times New Roman" w:eastAsia="方正仿宋简体" w:cs="仿宋_GB2312"/>
          <w:szCs w:val="32"/>
        </w:rPr>
        <w:t>童1</w:t>
      </w:r>
      <w:r>
        <w:rPr>
          <w:rFonts w:ascii="Times New Roman" w:hAnsi="Times New Roman" w:eastAsia="方正仿宋简体" w:cs="仿宋_GB2312"/>
          <w:szCs w:val="32"/>
        </w:rPr>
        <w:t>965</w:t>
      </w:r>
      <w:r>
        <w:rPr>
          <w:rFonts w:hint="eastAsia" w:ascii="Times New Roman" w:hAnsi="Times New Roman" w:eastAsia="方正仿宋简体" w:cs="仿宋_GB2312"/>
          <w:szCs w:val="32"/>
        </w:rPr>
        <w:t>名，</w:t>
      </w:r>
      <w:r>
        <w:rPr>
          <w:rFonts w:ascii="Times New Roman" w:hAnsi="Times New Roman" w:eastAsia="方正仿宋简体" w:cs="仿宋_GB2312"/>
          <w:szCs w:val="32"/>
        </w:rPr>
        <w:t>241.52</w:t>
      </w:r>
      <w:r>
        <w:rPr>
          <w:rFonts w:hint="eastAsia" w:ascii="Times New Roman" w:hAnsi="Times New Roman" w:eastAsia="方正仿宋简体" w:cs="仿宋_GB2312"/>
          <w:szCs w:val="32"/>
        </w:rPr>
        <w:t>万</w:t>
      </w:r>
      <w:r>
        <w:rPr>
          <w:rFonts w:ascii="Times New Roman" w:hAnsi="Times New Roman" w:eastAsia="方正仿宋简体" w:cs="仿宋_GB2312"/>
          <w:szCs w:val="32"/>
        </w:rPr>
        <w:t>元</w:t>
      </w:r>
      <w:r>
        <w:rPr>
          <w:rFonts w:hint="eastAsia" w:ascii="Times New Roman" w:hAnsi="Times New Roman" w:eastAsia="方正仿宋简体" w:cs="仿宋_GB2312"/>
          <w:szCs w:val="32"/>
        </w:rPr>
        <w:t>。</w:t>
      </w:r>
      <w:r>
        <w:rPr>
          <w:rFonts w:hint="eastAsia" w:ascii="方正仿宋简体" w:hAnsi="方正仿宋简体" w:eastAsia="方正仿宋简体" w:cs="方正仿宋简体"/>
          <w:szCs w:val="32"/>
        </w:rPr>
        <w:t>依托</w:t>
      </w:r>
      <w:r>
        <w:rPr>
          <w:rFonts w:hint="eastAsia" w:ascii="Times New Roman" w:hAnsi="Times New Roman" w:eastAsia="方正仿宋简体" w:cs="方正仿宋简体"/>
          <w:szCs w:val="32"/>
        </w:rPr>
        <w:t>12355</w:t>
      </w:r>
      <w:r>
        <w:rPr>
          <w:rFonts w:hint="eastAsia" w:ascii="方正仿宋简体" w:hAnsi="方正仿宋简体" w:eastAsia="方正仿宋简体" w:cs="方正仿宋简体"/>
          <w:szCs w:val="32"/>
        </w:rPr>
        <w:t>平台，联系心理专家采取“一对一”“面对面”相结合的形式，对咨询者进行心理疏导，接听热线电话</w:t>
      </w:r>
      <w:r>
        <w:rPr>
          <w:rFonts w:hint="eastAsia" w:ascii="Times New Roman" w:hAnsi="Times New Roman" w:eastAsia="方正仿宋简体" w:cs="方正仿宋简体"/>
          <w:szCs w:val="32"/>
        </w:rPr>
        <w:t>125</w:t>
      </w:r>
      <w:r>
        <w:rPr>
          <w:rFonts w:hint="eastAsia" w:ascii="方正仿宋简体" w:hAnsi="方正仿宋简体" w:eastAsia="方正仿宋简体" w:cs="方正仿宋简体"/>
          <w:szCs w:val="32"/>
        </w:rPr>
        <w:t>个，开展心理健康志愿服务活动</w:t>
      </w:r>
      <w:r>
        <w:rPr>
          <w:rFonts w:hint="eastAsia" w:ascii="Times New Roman" w:hAnsi="Times New Roman" w:eastAsia="方正仿宋简体" w:cs="方正仿宋简体"/>
          <w:szCs w:val="32"/>
        </w:rPr>
        <w:t>23</w:t>
      </w:r>
      <w:r>
        <w:rPr>
          <w:rFonts w:hint="eastAsia" w:ascii="方正仿宋简体" w:hAnsi="方正仿宋简体" w:eastAsia="方正仿宋简体" w:cs="方正仿宋简体"/>
          <w:szCs w:val="32"/>
        </w:rPr>
        <w:t>场，服务</w:t>
      </w:r>
      <w:r>
        <w:rPr>
          <w:rFonts w:hint="eastAsia" w:ascii="Times New Roman" w:hAnsi="Times New Roman" w:eastAsia="方正仿宋简体" w:cs="方正仿宋简体"/>
          <w:szCs w:val="32"/>
        </w:rPr>
        <w:t>600</w:t>
      </w:r>
      <w:r>
        <w:rPr>
          <w:rFonts w:hint="eastAsia" w:ascii="方正仿宋简体" w:hAnsi="方正仿宋简体" w:eastAsia="方正仿宋简体" w:cs="方正仿宋简体"/>
          <w:szCs w:val="32"/>
        </w:rPr>
        <w:t>余人。开展</w:t>
      </w:r>
      <w:r>
        <w:rPr>
          <w:rFonts w:ascii="方正仿宋简体" w:hAnsi="方正仿宋简体" w:eastAsia="方正仿宋简体" w:cs="方正仿宋简体"/>
          <w:szCs w:val="32"/>
        </w:rPr>
        <w:t>青少年</w:t>
      </w:r>
      <w:r>
        <w:rPr>
          <w:rFonts w:hint="eastAsia" w:ascii="方正仿宋简体" w:hAnsi="方正仿宋简体" w:eastAsia="方正仿宋简体" w:cs="方正仿宋简体"/>
          <w:szCs w:val="32"/>
        </w:rPr>
        <w:t>法治宣传教育活动。开展</w:t>
      </w:r>
      <w:r>
        <w:rPr>
          <w:rFonts w:ascii="方正仿宋简体" w:hAnsi="方正仿宋简体" w:eastAsia="方正仿宋简体" w:cs="方正仿宋简体"/>
          <w:szCs w:val="32"/>
        </w:rPr>
        <w:t>青少年</w:t>
      </w:r>
      <w:r>
        <w:rPr>
          <w:rFonts w:hint="eastAsia" w:ascii="方正仿宋简体" w:hAnsi="方正仿宋简体" w:eastAsia="方正仿宋简体" w:cs="方正仿宋简体"/>
          <w:szCs w:val="32"/>
        </w:rPr>
        <w:t>禁毒教育、防溺水、防性侵、自护教育等活动</w:t>
      </w:r>
      <w:r>
        <w:rPr>
          <w:rFonts w:hint="eastAsia" w:ascii="Times New Roman" w:hAnsi="Times New Roman" w:eastAsia="方正仿宋简体" w:cs="仿宋_GB2312"/>
          <w:szCs w:val="32"/>
        </w:rPr>
        <w:t>1980余场，服务少年儿童12万人次。</w:t>
      </w:r>
    </w:p>
    <w:p>
      <w:pPr>
        <w:spacing w:line="580" w:lineRule="exact"/>
        <w:ind w:firstLine="640" w:firstLineChars="200"/>
        <w:rPr>
          <w:rFonts w:ascii="黑体" w:hAnsi="黑体" w:eastAsia="黑体"/>
          <w:color w:val="000000"/>
          <w:szCs w:val="32"/>
        </w:rPr>
      </w:pPr>
      <w:r>
        <w:rPr>
          <w:rFonts w:ascii="黑体" w:hAnsi="黑体" w:eastAsia="黑体"/>
          <w:color w:val="000000"/>
          <w:szCs w:val="32"/>
        </w:rPr>
        <w:t>八、存在的问题及原因分析</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（一）部门整体支出绩效管理意识有待提高</w:t>
      </w:r>
    </w:p>
    <w:p>
      <w:pPr>
        <w:spacing w:line="580" w:lineRule="exact"/>
        <w:ind w:firstLine="640" w:firstLineChars="200"/>
        <w:rPr>
          <w:rFonts w:ascii="Times New Roman" w:hAnsi="Times New Roman" w:eastAsia="方正仿宋简体"/>
          <w:szCs w:val="32"/>
        </w:rPr>
      </w:pPr>
      <w:r>
        <w:rPr>
          <w:rFonts w:ascii="Times New Roman" w:hAnsi="仿宋" w:eastAsia="仿宋"/>
          <w:color w:val="000000"/>
          <w:szCs w:val="32"/>
        </w:rPr>
        <w:t>部门整体支出绩效管理工作意识淡薄主要体现在</w:t>
      </w:r>
      <w:r>
        <w:rPr>
          <w:rFonts w:ascii="Times New Roman" w:hAnsi="Times New Roman" w:eastAsia="方正仿宋简体"/>
          <w:szCs w:val="32"/>
        </w:rPr>
        <w:t>：一是部门年度预算编制当中绩效目标意识不够，二是预算执行过程当中存在有开支政策依据但无预算安排的支出；三是对部门整体支出绩效评价结果利用欠充分。</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（二）预算控制工作有待加强</w:t>
      </w:r>
    </w:p>
    <w:p>
      <w:pPr>
        <w:spacing w:line="580" w:lineRule="exact"/>
        <w:ind w:firstLine="640" w:firstLineChars="200"/>
        <w:rPr>
          <w:rFonts w:ascii="Times New Roman" w:hAnsi="Times New Roman" w:eastAsia="方正仿宋简体"/>
          <w:szCs w:val="32"/>
          <w:shd w:val="clear" w:color="auto" w:fill="FFFFFF"/>
        </w:rPr>
      </w:pPr>
      <w:r>
        <w:rPr>
          <w:rFonts w:ascii="Times New Roman" w:hAnsi="Times New Roman" w:eastAsia="方正仿宋简体"/>
          <w:szCs w:val="32"/>
          <w:shd w:val="clear" w:color="auto" w:fill="FFFFFF"/>
        </w:rPr>
        <w:t>预算控制是实现预算收支任务的关键步骤，也是整个预算管理工作的中心环节。</w:t>
      </w:r>
      <w:r>
        <w:rPr>
          <w:rFonts w:ascii="Times New Roman" w:hAnsi="Times New Roman" w:eastAsia="方正仿宋简体"/>
          <w:szCs w:val="32"/>
        </w:rPr>
        <w:t>当年财政拨款收入决算</w:t>
      </w:r>
      <w:r>
        <w:rPr>
          <w:rFonts w:hint="eastAsia" w:ascii="Times New Roman" w:hAnsi="Times New Roman" w:eastAsia="方正仿宋简体"/>
          <w:szCs w:val="32"/>
        </w:rPr>
        <w:t>439.99</w:t>
      </w:r>
      <w:r>
        <w:rPr>
          <w:rFonts w:ascii="Times New Roman" w:hAnsi="Times New Roman"/>
          <w:szCs w:val="32"/>
        </w:rPr>
        <w:t>万元，较年初预算增加</w:t>
      </w:r>
      <w:r>
        <w:rPr>
          <w:rFonts w:hint="eastAsia" w:ascii="Times New Roman" w:hAnsi="Times New Roman"/>
          <w:szCs w:val="32"/>
        </w:rPr>
        <w:t>212.23</w:t>
      </w:r>
      <w:r>
        <w:rPr>
          <w:rFonts w:ascii="Times New Roman" w:hAnsi="Times New Roman"/>
          <w:szCs w:val="32"/>
        </w:rPr>
        <w:t>万元，</w:t>
      </w:r>
      <w:r>
        <w:rPr>
          <w:rFonts w:ascii="Times New Roman" w:hAnsi="Times New Roman" w:eastAsia="方正仿宋简体"/>
          <w:szCs w:val="32"/>
          <w:shd w:val="clear" w:color="auto" w:fill="FFFFFF"/>
        </w:rPr>
        <w:t>尽管其中有政策性调整和政府临时交办事务等原因追加预算，加大了预算控制工作的难度。</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（三）</w:t>
      </w:r>
      <w:r>
        <w:rPr>
          <w:rFonts w:hint="eastAsia" w:ascii="楷体_GB2312" w:hAnsi="仿宋" w:eastAsia="楷体_GB2312"/>
          <w:color w:val="000000"/>
          <w:szCs w:val="32"/>
        </w:rPr>
        <w:t>绩效指标体系不够完善细化</w:t>
      </w:r>
    </w:p>
    <w:p>
      <w:pPr>
        <w:pStyle w:val="2"/>
        <w:ind w:firstLine="640" w:firstLineChars="200"/>
        <w:rPr>
          <w:rFonts w:ascii="Times New Roman" w:hAnsi="Times New Roman" w:eastAsia="方正仿宋简体"/>
          <w:szCs w:val="32"/>
          <w:shd w:val="clear" w:color="auto" w:fill="FFFFFF"/>
        </w:rPr>
      </w:pPr>
      <w:r>
        <w:rPr>
          <w:rFonts w:hint="eastAsia" w:ascii="Times New Roman" w:hAnsi="Times New Roman" w:eastAsia="方正仿宋简体"/>
          <w:szCs w:val="32"/>
          <w:shd w:val="clear" w:color="auto" w:fill="FFFFFF"/>
        </w:rPr>
        <w:t>在年初设计绩效目标时未充分结合部门工作职责、行业特点搭建完善的绩效指标体系，绩效指标不够细化、量化。</w:t>
      </w:r>
    </w:p>
    <w:p>
      <w:pPr>
        <w:spacing w:line="580" w:lineRule="exact"/>
        <w:ind w:firstLine="640" w:firstLineChars="200"/>
        <w:rPr>
          <w:rFonts w:ascii="楷体_GB2312" w:hAnsi="仿宋" w:eastAsia="楷体_GB2312"/>
          <w:color w:val="000000"/>
          <w:szCs w:val="32"/>
        </w:rPr>
      </w:pPr>
      <w:r>
        <w:rPr>
          <w:rFonts w:ascii="楷体_GB2312" w:hAnsi="仿宋" w:eastAsia="楷体_GB2312"/>
          <w:color w:val="000000"/>
          <w:szCs w:val="32"/>
        </w:rPr>
        <w:t>（</w:t>
      </w:r>
      <w:r>
        <w:rPr>
          <w:rFonts w:hint="eastAsia" w:ascii="楷体_GB2312" w:hAnsi="仿宋" w:eastAsia="楷体_GB2312"/>
          <w:color w:val="000000"/>
          <w:szCs w:val="32"/>
        </w:rPr>
        <w:t>四</w:t>
      </w:r>
      <w:r>
        <w:rPr>
          <w:rFonts w:ascii="楷体_GB2312" w:hAnsi="仿宋" w:eastAsia="楷体_GB2312"/>
          <w:color w:val="000000"/>
          <w:szCs w:val="32"/>
        </w:rPr>
        <w:t>）单位日常运转所需公用经费预算不足</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部门年度预算中，基本支出预算中公用经费预算较少，</w:t>
      </w:r>
      <w:r>
        <w:rPr>
          <w:rFonts w:ascii="Times New Roman" w:hAnsi="仿宋" w:eastAsia="仿宋"/>
          <w:szCs w:val="32"/>
        </w:rPr>
        <w:t>不能满足单位日常运行费用支出</w:t>
      </w:r>
      <w:r>
        <w:rPr>
          <w:rFonts w:ascii="Times New Roman" w:hAnsi="Times New Roman" w:eastAsia="方正仿宋简体"/>
          <w:szCs w:val="32"/>
        </w:rPr>
        <w:t>。</w:t>
      </w:r>
    </w:p>
    <w:p>
      <w:pPr>
        <w:spacing w:line="580" w:lineRule="exact"/>
        <w:ind w:firstLine="640" w:firstLineChars="200"/>
        <w:rPr>
          <w:rFonts w:ascii="黑体" w:hAnsi="黑体" w:eastAsia="黑体"/>
          <w:color w:val="000000"/>
          <w:szCs w:val="32"/>
        </w:rPr>
      </w:pPr>
      <w:r>
        <w:rPr>
          <w:rFonts w:ascii="黑体" w:hAnsi="黑体" w:eastAsia="黑体"/>
          <w:color w:val="000000"/>
          <w:szCs w:val="32"/>
        </w:rPr>
        <w:t>九、下一步改进措施</w:t>
      </w:r>
    </w:p>
    <w:p>
      <w:pPr>
        <w:spacing w:line="580" w:lineRule="exact"/>
        <w:ind w:firstLine="610" w:firstLineChars="200"/>
        <w:rPr>
          <w:rFonts w:ascii="Times New Roman" w:hAnsi="Times New Roman" w:eastAsia="方正仿宋简体"/>
          <w:bCs/>
          <w:color w:val="000000"/>
          <w:kern w:val="0"/>
          <w:szCs w:val="32"/>
        </w:rPr>
      </w:pPr>
      <w:r>
        <w:rPr>
          <w:rFonts w:hint="eastAsia" w:ascii="Times New Roman" w:hAnsi="Times New Roman" w:eastAsia="方正仿宋简体"/>
          <w:b/>
          <w:bCs/>
          <w:spacing w:val="-8"/>
          <w:szCs w:val="32"/>
        </w:rPr>
        <w:t>一是</w:t>
      </w:r>
      <w:r>
        <w:rPr>
          <w:rFonts w:ascii="Times New Roman" w:hAnsi="Times New Roman" w:eastAsia="方正仿宋简体"/>
          <w:spacing w:val="-8"/>
          <w:szCs w:val="32"/>
        </w:rPr>
        <w:t>提高认识，加强部门整体支出绩效评价工作</w:t>
      </w:r>
      <w:r>
        <w:rPr>
          <w:rFonts w:hint="eastAsia" w:ascii="Times New Roman" w:hAnsi="Times New Roman" w:eastAsia="方正仿宋简体"/>
          <w:spacing w:val="-8"/>
          <w:szCs w:val="32"/>
        </w:rPr>
        <w:t>。</w:t>
      </w:r>
      <w:r>
        <w:rPr>
          <w:rFonts w:ascii="Times New Roman" w:hAnsi="Times New Roman" w:eastAsia="方正仿宋简体"/>
          <w:spacing w:val="-8"/>
          <w:szCs w:val="32"/>
        </w:rPr>
        <w:t>单位全体干职工要提升部门整体支出绩效管理意识，</w:t>
      </w:r>
      <w:r>
        <w:rPr>
          <w:rFonts w:ascii="Times New Roman" w:hAnsi="Times New Roman" w:eastAsia="方正仿宋简体"/>
          <w:color w:val="000000"/>
          <w:kern w:val="0"/>
          <w:szCs w:val="32"/>
        </w:rPr>
        <w:t>将绩效理念贯穿于预算编制与执行的全过程。对每个部门以及项目都分别制定相应的绩效指标，将部门整体支出绩效评价工作落实到</w:t>
      </w:r>
      <w:r>
        <w:rPr>
          <w:rFonts w:ascii="Times New Roman" w:hAnsi="Times New Roman" w:eastAsia="方正仿宋简体"/>
          <w:szCs w:val="32"/>
        </w:rPr>
        <w:t>每一笔费用支出当中，科学合理地对财政支出进行管理。</w:t>
      </w:r>
      <w:r>
        <w:rPr>
          <w:rFonts w:hint="eastAsia" w:ascii="Times New Roman" w:hAnsi="Times New Roman" w:eastAsia="方正仿宋简体"/>
          <w:b/>
          <w:bCs/>
          <w:szCs w:val="32"/>
        </w:rPr>
        <w:t>二是</w:t>
      </w:r>
      <w:r>
        <w:rPr>
          <w:rFonts w:ascii="Times New Roman" w:hAnsi="Times New Roman" w:eastAsia="方正仿宋简体"/>
          <w:bCs/>
          <w:color w:val="000000"/>
          <w:kern w:val="0"/>
          <w:szCs w:val="32"/>
        </w:rPr>
        <w:t>加强预算编制的前瞻性。建议在编制年度部门预算时，结合上年度预决算收支情况和预算年度可以预计的收支情况进行科学、合理预算，尽可能保证预算年度内预算收支应编尽编。全面、科学地编制好年度部门预算是严格预算管理，做好预算控制工作的</w:t>
      </w:r>
      <w:r>
        <w:rPr>
          <w:rFonts w:ascii="Times New Roman" w:hAnsi="Times New Roman" w:eastAsia="方正仿宋简体"/>
          <w:szCs w:val="32"/>
        </w:rPr>
        <w:t>前提。增强预算</w:t>
      </w:r>
      <w:r>
        <w:rPr>
          <w:rFonts w:ascii="Times New Roman" w:hAnsi="Times New Roman" w:eastAsia="方正仿宋简体"/>
          <w:bCs/>
          <w:color w:val="000000"/>
          <w:kern w:val="0"/>
          <w:szCs w:val="32"/>
        </w:rPr>
        <w:t>管理的执行力。杜绝预算执行和资金使用上的的随意性。</w:t>
      </w:r>
      <w:r>
        <w:rPr>
          <w:rFonts w:hint="eastAsia" w:ascii="Times New Roman" w:hAnsi="Times New Roman" w:eastAsia="方正仿宋简体"/>
          <w:b/>
          <w:color w:val="000000"/>
          <w:kern w:val="0"/>
          <w:szCs w:val="32"/>
        </w:rPr>
        <w:t>三是</w:t>
      </w:r>
      <w:r>
        <w:rPr>
          <w:rFonts w:hint="eastAsia" w:ascii="Times New Roman" w:hAnsi="Times New Roman" w:eastAsia="方正仿宋简体"/>
          <w:bCs/>
          <w:color w:val="000000"/>
          <w:kern w:val="0"/>
          <w:szCs w:val="32"/>
        </w:rPr>
        <w:t>希望财政局能根据中心工作的要求和实际情况，提高年初部门预算额度。</w:t>
      </w:r>
    </w:p>
    <w:p>
      <w:pPr>
        <w:spacing w:line="580" w:lineRule="exact"/>
        <w:rPr>
          <w:rFonts w:ascii="Times New Roman" w:hAnsi="Times New Roman" w:eastAsia="方正仿宋简体"/>
          <w:bCs/>
          <w:color w:val="000000"/>
          <w:kern w:val="0"/>
          <w:szCs w:val="32"/>
        </w:rPr>
      </w:pPr>
      <w:r>
        <w:rPr>
          <w:rFonts w:hint="eastAsia" w:ascii="Times New Roman" w:hAnsi="Times New Roman" w:eastAsia="方正仿宋简体"/>
          <w:b/>
          <w:color w:val="000000"/>
          <w:kern w:val="0"/>
          <w:szCs w:val="32"/>
        </w:rPr>
        <w:t>四是</w:t>
      </w:r>
      <w:r>
        <w:rPr>
          <w:rFonts w:hint="eastAsia" w:ascii="Times New Roman" w:hAnsi="Times New Roman" w:eastAsia="方正仿宋简体"/>
          <w:bCs/>
          <w:color w:val="000000"/>
          <w:kern w:val="0"/>
          <w:szCs w:val="32"/>
        </w:rPr>
        <w:t>加强绩效评价的专门培训，尤其是关于指标设置和分解方面，提升各项指标的可衡量性。</w:t>
      </w:r>
    </w:p>
    <w:p>
      <w:pPr>
        <w:pStyle w:val="2"/>
      </w:pPr>
    </w:p>
    <w:p>
      <w:pPr>
        <w:spacing w:line="580" w:lineRule="exact"/>
        <w:ind w:firstLine="640" w:firstLineChars="200"/>
        <w:rPr>
          <w:rFonts w:ascii="Times New Roman" w:hAnsi="Times New Roman" w:eastAsia="黑体"/>
          <w:color w:val="000000"/>
          <w:szCs w:val="32"/>
        </w:rPr>
      </w:pPr>
      <w:r>
        <w:rPr>
          <w:rFonts w:hint="eastAsia" w:ascii="黑体" w:hAnsi="黑体" w:eastAsia="黑体"/>
          <w:color w:val="000000"/>
          <w:szCs w:val="32"/>
        </w:rPr>
        <w:t>十、</w:t>
      </w:r>
      <w:r>
        <w:rPr>
          <w:rFonts w:ascii="黑体" w:hAnsi="黑体" w:eastAsia="黑体"/>
          <w:color w:val="000000"/>
          <w:szCs w:val="32"/>
        </w:rPr>
        <w:t>部门整体支出绩效自评结果拟应用和公开情况</w:t>
      </w:r>
    </w:p>
    <w:p>
      <w:pPr>
        <w:spacing w:line="580" w:lineRule="exact"/>
        <w:ind w:firstLine="640" w:firstLineChars="200"/>
        <w:rPr>
          <w:rFonts w:ascii="Times New Roman" w:hAnsi="Times New Roman" w:eastAsia="方正仿宋简体"/>
          <w:spacing w:val="-8"/>
          <w:szCs w:val="32"/>
        </w:rPr>
      </w:pPr>
      <w:r>
        <w:rPr>
          <w:rFonts w:hint="eastAsia" w:ascii="Times New Roman" w:hAnsi="Times New Roman"/>
          <w:color w:val="000000"/>
          <w:kern w:val="0"/>
          <w:szCs w:val="32"/>
        </w:rPr>
        <w:t>2024</w:t>
      </w:r>
      <w:r>
        <w:rPr>
          <w:rFonts w:ascii="Times New Roman" w:hAnsi="Times New Roman"/>
          <w:color w:val="000000"/>
          <w:kern w:val="0"/>
          <w:szCs w:val="32"/>
        </w:rPr>
        <w:t>年我委整体支出绩效自评结果为优秀。同时，</w:t>
      </w:r>
      <w:r>
        <w:rPr>
          <w:rFonts w:ascii="Times New Roman" w:hAnsi="Times New Roman" w:eastAsia="方正仿宋简体"/>
          <w:spacing w:val="-8"/>
          <w:szCs w:val="32"/>
        </w:rPr>
        <w:t>根据省、市财政部门关于部门预决算公开要求， 共青团益阳市委于</w:t>
      </w:r>
      <w:r>
        <w:rPr>
          <w:rFonts w:hint="eastAsia" w:ascii="Times New Roman" w:hAnsi="Times New Roman" w:eastAsia="方正仿宋简体"/>
          <w:spacing w:val="-8"/>
          <w:szCs w:val="32"/>
        </w:rPr>
        <w:t>2024</w:t>
      </w:r>
      <w:r>
        <w:rPr>
          <w:rFonts w:ascii="Times New Roman" w:hAnsi="Times New Roman" w:eastAsia="方正仿宋简体"/>
          <w:spacing w:val="-8"/>
          <w:szCs w:val="32"/>
        </w:rPr>
        <w:t>年2月在市财政局指定网站和益阳共青团官网对202</w:t>
      </w:r>
      <w:r>
        <w:rPr>
          <w:rFonts w:hint="eastAsia" w:ascii="Times New Roman" w:hAnsi="Times New Roman" w:eastAsia="方正仿宋简体"/>
          <w:spacing w:val="-8"/>
          <w:szCs w:val="32"/>
        </w:rPr>
        <w:t>4</w:t>
      </w:r>
      <w:r>
        <w:rPr>
          <w:rFonts w:ascii="Times New Roman" w:hAnsi="Times New Roman" w:eastAsia="方正仿宋简体"/>
          <w:spacing w:val="-8"/>
          <w:szCs w:val="32"/>
        </w:rPr>
        <w:t>年度部门预算进行了公开；</w:t>
      </w:r>
      <w:r>
        <w:rPr>
          <w:rFonts w:hint="eastAsia" w:ascii="Times New Roman" w:hAnsi="Times New Roman" w:eastAsia="方正仿宋简体"/>
          <w:spacing w:val="-8"/>
          <w:szCs w:val="32"/>
        </w:rPr>
        <w:t>2024</w:t>
      </w:r>
      <w:r>
        <w:rPr>
          <w:rFonts w:ascii="Times New Roman" w:hAnsi="Times New Roman"/>
          <w:szCs w:val="32"/>
        </w:rPr>
        <w:t>年度部门决算待财政部门批复后再另行公开</w:t>
      </w:r>
      <w:r>
        <w:rPr>
          <w:rFonts w:ascii="Times New Roman" w:hAnsi="Times New Roman" w:eastAsia="方正仿宋简体"/>
          <w:spacing w:val="-8"/>
          <w:szCs w:val="32"/>
        </w:rPr>
        <w:t>。</w:t>
      </w:r>
    </w:p>
    <w:p>
      <w:pPr>
        <w:pStyle w:val="4"/>
        <w:spacing w:line="580" w:lineRule="exact"/>
        <w:rPr>
          <w:rFonts w:ascii="Times New Roman" w:hAnsi="Times New Roman" w:eastAsia="方正仿宋简体"/>
          <w:spacing w:val="-8"/>
          <w:szCs w:val="32"/>
        </w:rPr>
      </w:pPr>
    </w:p>
    <w:p>
      <w:pPr>
        <w:pBdr>
          <w:bottom w:val="single" w:color="FFFFFF" w:sz="4" w:space="31"/>
        </w:pBdr>
        <w:tabs>
          <w:tab w:val="left" w:pos="1440"/>
        </w:tabs>
        <w:spacing w:line="580" w:lineRule="exact"/>
        <w:ind w:firstLine="608" w:firstLineChars="200"/>
        <w:rPr>
          <w:rFonts w:ascii="Times New Roman" w:hAnsi="Times New Roman" w:eastAsia="方正仿宋简体"/>
          <w:spacing w:val="-8"/>
          <w:szCs w:val="32"/>
        </w:rPr>
      </w:pPr>
      <w:r>
        <w:rPr>
          <w:rFonts w:ascii="Times New Roman" w:hAnsi="Times New Roman" w:eastAsia="方正仿宋简体"/>
          <w:spacing w:val="-8"/>
          <w:szCs w:val="32"/>
        </w:rPr>
        <w:t>附件</w:t>
      </w:r>
      <w:r>
        <w:rPr>
          <w:rFonts w:hint="eastAsia" w:ascii="Times New Roman" w:hAnsi="Times New Roman" w:eastAsia="方正仿宋简体"/>
          <w:spacing w:val="-8"/>
          <w:szCs w:val="32"/>
        </w:rPr>
        <w:t>：</w:t>
      </w:r>
      <w:r>
        <w:rPr>
          <w:rFonts w:ascii="Times New Roman" w:hAnsi="Times New Roman" w:eastAsia="方正仿宋简体"/>
          <w:spacing w:val="-8"/>
          <w:szCs w:val="32"/>
        </w:rPr>
        <w:t>1</w:t>
      </w:r>
      <w:r>
        <w:rPr>
          <w:rFonts w:hint="eastAsia" w:ascii="Times New Roman" w:hAnsi="Times New Roman" w:eastAsia="方正仿宋简体"/>
          <w:spacing w:val="-8"/>
          <w:szCs w:val="32"/>
        </w:rPr>
        <w:t>.2024</w:t>
      </w:r>
      <w:r>
        <w:rPr>
          <w:rFonts w:ascii="Times New Roman" w:hAnsi="Times New Roman" w:eastAsia="方正仿宋简体"/>
          <w:spacing w:val="-8"/>
          <w:szCs w:val="32"/>
        </w:rPr>
        <w:t>年度部门整体支出绩效评价基础数据表</w:t>
      </w:r>
    </w:p>
    <w:p>
      <w:pPr>
        <w:pBdr>
          <w:bottom w:val="single" w:color="FFFFFF" w:sz="4" w:space="31"/>
        </w:pBdr>
        <w:tabs>
          <w:tab w:val="left" w:pos="1440"/>
        </w:tabs>
        <w:spacing w:line="580" w:lineRule="exact"/>
        <w:ind w:firstLine="1520" w:firstLineChars="500"/>
        <w:rPr>
          <w:rFonts w:ascii="Times New Roman" w:hAnsi="Times New Roman" w:eastAsia="方正仿宋简体"/>
          <w:spacing w:val="-8"/>
          <w:szCs w:val="32"/>
        </w:rPr>
      </w:pPr>
      <w:r>
        <w:rPr>
          <w:rFonts w:ascii="Times New Roman" w:hAnsi="Times New Roman" w:eastAsia="方正仿宋简体"/>
          <w:spacing w:val="-8"/>
          <w:szCs w:val="32"/>
        </w:rPr>
        <w:t>2</w:t>
      </w:r>
      <w:r>
        <w:rPr>
          <w:rFonts w:hint="eastAsia" w:ascii="Times New Roman" w:hAnsi="Times New Roman" w:eastAsia="方正仿宋简体"/>
          <w:spacing w:val="-8"/>
          <w:szCs w:val="32"/>
        </w:rPr>
        <w:t>.2024</w:t>
      </w:r>
      <w:r>
        <w:rPr>
          <w:rFonts w:ascii="Times New Roman" w:hAnsi="Times New Roman" w:eastAsia="方正仿宋简体"/>
          <w:spacing w:val="-8"/>
          <w:szCs w:val="32"/>
        </w:rPr>
        <w:t>年度部门整体支出绩效自评表</w:t>
      </w:r>
    </w:p>
    <w:p>
      <w:pPr>
        <w:pBdr>
          <w:bottom w:val="single" w:color="FFFFFF" w:sz="4" w:space="31"/>
        </w:pBdr>
        <w:tabs>
          <w:tab w:val="left" w:pos="1440"/>
        </w:tabs>
        <w:spacing w:line="580" w:lineRule="exact"/>
        <w:ind w:firstLine="1520" w:firstLineChars="500"/>
        <w:rPr>
          <w:rFonts w:ascii="Times New Roman" w:hAnsi="Times New Roman" w:eastAsia="方正仿宋简体"/>
          <w:spacing w:val="-8"/>
          <w:szCs w:val="32"/>
        </w:rPr>
      </w:pPr>
      <w:r>
        <w:rPr>
          <w:rFonts w:hint="eastAsia" w:ascii="Times New Roman" w:hAnsi="Times New Roman" w:eastAsia="方正仿宋简体"/>
          <w:spacing w:val="-8"/>
          <w:szCs w:val="32"/>
        </w:rPr>
        <w:t>3.2024</w:t>
      </w:r>
      <w:r>
        <w:rPr>
          <w:rFonts w:ascii="Times New Roman" w:hAnsi="Times New Roman" w:eastAsia="方正仿宋简体"/>
          <w:spacing w:val="-8"/>
          <w:szCs w:val="32"/>
        </w:rPr>
        <w:t>年度</w:t>
      </w:r>
      <w:r>
        <w:rPr>
          <w:rFonts w:hint="eastAsia" w:ascii="Times New Roman" w:hAnsi="Times New Roman" w:eastAsia="方正仿宋简体"/>
          <w:spacing w:val="-8"/>
          <w:szCs w:val="32"/>
        </w:rPr>
        <w:t>项目</w:t>
      </w:r>
      <w:r>
        <w:rPr>
          <w:rFonts w:ascii="Times New Roman" w:hAnsi="Times New Roman" w:eastAsia="方正仿宋简体"/>
          <w:spacing w:val="-8"/>
          <w:szCs w:val="32"/>
        </w:rPr>
        <w:t>支出绩效自评表</w:t>
      </w:r>
    </w:p>
    <w:p>
      <w:pPr>
        <w:pBdr>
          <w:bottom w:val="single" w:color="FFFFFF" w:sz="4" w:space="31"/>
        </w:pBdr>
        <w:tabs>
          <w:tab w:val="left" w:pos="1440"/>
        </w:tabs>
        <w:spacing w:line="580" w:lineRule="exact"/>
        <w:ind w:firstLine="1520" w:firstLineChars="500"/>
        <w:rPr>
          <w:rFonts w:ascii="Times New Roman" w:hAnsi="Times New Roman" w:eastAsia="方正仿宋简体"/>
          <w:spacing w:val="-8"/>
          <w:szCs w:val="32"/>
        </w:rPr>
      </w:pPr>
      <w:r>
        <w:rPr>
          <w:rFonts w:hint="eastAsia" w:ascii="Times New Roman" w:hAnsi="Times New Roman" w:eastAsia="方正仿宋简体"/>
          <w:spacing w:val="-8"/>
          <w:szCs w:val="32"/>
        </w:rPr>
        <w:t>4.2024</w:t>
      </w:r>
      <w:r>
        <w:rPr>
          <w:rFonts w:ascii="Times New Roman" w:hAnsi="Times New Roman" w:eastAsia="方正仿宋简体"/>
          <w:spacing w:val="-8"/>
          <w:szCs w:val="32"/>
        </w:rPr>
        <w:t>年度</w:t>
      </w:r>
      <w:r>
        <w:rPr>
          <w:rFonts w:hint="eastAsia" w:ascii="Times New Roman" w:hAnsi="Times New Roman" w:eastAsia="方正仿宋简体"/>
          <w:spacing w:val="-8"/>
          <w:szCs w:val="32"/>
        </w:rPr>
        <w:t>项目</w:t>
      </w:r>
      <w:r>
        <w:rPr>
          <w:rFonts w:ascii="Times New Roman" w:hAnsi="Times New Roman" w:eastAsia="方正仿宋简体"/>
          <w:spacing w:val="-8"/>
          <w:szCs w:val="32"/>
        </w:rPr>
        <w:t>支出绩效自评表</w:t>
      </w:r>
    </w:p>
    <w:p>
      <w:pPr>
        <w:pBdr>
          <w:bottom w:val="single" w:color="FFFFFF" w:sz="4" w:space="31"/>
        </w:pBdr>
        <w:tabs>
          <w:tab w:val="left" w:pos="1440"/>
        </w:tabs>
        <w:spacing w:line="600" w:lineRule="exact"/>
        <w:ind w:firstLine="608" w:firstLineChars="200"/>
        <w:rPr>
          <w:rFonts w:ascii="Times New Roman" w:hAnsi="Times New Roman" w:eastAsia="方正仿宋简体"/>
          <w:spacing w:val="-8"/>
          <w:szCs w:val="32"/>
        </w:rPr>
      </w:pPr>
    </w:p>
    <w:p>
      <w:pPr>
        <w:widowControl/>
        <w:jc w:val="left"/>
        <w:rPr>
          <w:rFonts w:ascii="Times New Roman" w:hAnsi="Times New Roman" w:eastAsia="方正仿宋简体"/>
          <w:spacing w:val="-8"/>
          <w:szCs w:val="32"/>
        </w:rPr>
      </w:pPr>
      <w:r>
        <w:rPr>
          <w:rFonts w:ascii="Times New Roman" w:hAnsi="Times New Roman" w:eastAsia="方正仿宋简体"/>
          <w:spacing w:val="-8"/>
          <w:szCs w:val="32"/>
        </w:rPr>
        <w:br w:type="page"/>
      </w:r>
    </w:p>
    <w:p>
      <w:pPr>
        <w:widowControl/>
        <w:spacing w:line="600" w:lineRule="exact"/>
        <w:jc w:val="left"/>
        <w:rPr>
          <w:rFonts w:ascii="Times New Roman" w:hAnsi="Times New Roman" w:eastAsia="黑体"/>
          <w:szCs w:val="32"/>
        </w:rPr>
      </w:pPr>
      <w:r>
        <w:rPr>
          <w:rFonts w:ascii="Times New Roman" w:eastAsia="黑体"/>
          <w:szCs w:val="32"/>
        </w:rPr>
        <w:t>附件</w:t>
      </w:r>
      <w:r>
        <w:rPr>
          <w:rFonts w:ascii="Times New Roman" w:hAnsi="Times New Roman" w:eastAsia="黑体"/>
          <w:szCs w:val="32"/>
        </w:rPr>
        <w:t>1</w:t>
      </w:r>
    </w:p>
    <w:p>
      <w:pPr>
        <w:spacing w:line="600" w:lineRule="exact"/>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rPr>
        <w:t>2024</w:t>
      </w:r>
      <w:r>
        <w:rPr>
          <w:rFonts w:ascii="Times New Roman" w:eastAsia="方正小标宋_GBK"/>
          <w:kern w:val="0"/>
          <w:sz w:val="36"/>
          <w:szCs w:val="36"/>
        </w:rPr>
        <w:t>年度部门整体支出绩效评价基础数据表</w:t>
      </w:r>
    </w:p>
    <w:tbl>
      <w:tblPr>
        <w:tblStyle w:val="10"/>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kern w:val="0"/>
                <w:sz w:val="21"/>
                <w:szCs w:val="21"/>
              </w:rPr>
            </w:pPr>
            <w:r>
              <w:rPr>
                <w:rFonts w:ascii="Times New Roman" w:hAnsi="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kern w:val="0"/>
                <w:sz w:val="21"/>
                <w:szCs w:val="21"/>
              </w:rPr>
            </w:pPr>
            <w:r>
              <w:rPr>
                <w:rFonts w:hint="eastAsia" w:ascii="Times New Roman" w:hAnsi="Times New Roman"/>
                <w:b/>
                <w:bCs/>
                <w:kern w:val="0"/>
                <w:sz w:val="21"/>
                <w:szCs w:val="21"/>
              </w:rPr>
              <w:t>2024</w:t>
            </w:r>
            <w:r>
              <w:rPr>
                <w:rFonts w:ascii="Times New Roman" w:hAnsi="Times New Roman"/>
                <w:b/>
                <w:bCs/>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b/>
                <w:bCs/>
                <w:kern w:val="0"/>
                <w:sz w:val="21"/>
                <w:szCs w:val="21"/>
              </w:rPr>
            </w:pPr>
            <w:r>
              <w:rPr>
                <w:rFonts w:ascii="Times New Roman" w:hAnsi="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p>
        </w:tc>
        <w:tc>
          <w:tcPr>
            <w:tcW w:w="2325"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13　</w:t>
            </w:r>
          </w:p>
        </w:tc>
        <w:tc>
          <w:tcPr>
            <w:tcW w:w="2220"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13</w:t>
            </w:r>
          </w:p>
        </w:tc>
        <w:tc>
          <w:tcPr>
            <w:tcW w:w="1936"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100</w:t>
            </w:r>
            <w:r>
              <w:rPr>
                <w:rFonts w:ascii="Times New Roman" w:hAnsi="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3</w:t>
            </w:r>
            <w:r>
              <w:rPr>
                <w:rFonts w:ascii="Times New Roman" w:hAnsi="Times New Roman"/>
                <w:b/>
                <w:bCs/>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b/>
                <w:bCs/>
                <w:kern w:val="0"/>
                <w:sz w:val="21"/>
                <w:szCs w:val="21"/>
              </w:rPr>
            </w:pPr>
            <w:r>
              <w:rPr>
                <w:rFonts w:hint="eastAsia" w:ascii="Times New Roman" w:hAnsi="Times New Roman"/>
                <w:b/>
                <w:bCs/>
                <w:kern w:val="0"/>
                <w:sz w:val="21"/>
                <w:szCs w:val="21"/>
              </w:rPr>
              <w:t>2024</w:t>
            </w:r>
            <w:r>
              <w:rPr>
                <w:rFonts w:ascii="Times New Roman" w:hAnsi="Times New Roman"/>
                <w:b/>
                <w:bCs/>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b/>
                <w:bCs/>
                <w:kern w:val="0"/>
                <w:sz w:val="21"/>
                <w:szCs w:val="21"/>
              </w:rPr>
            </w:pPr>
            <w:r>
              <w:rPr>
                <w:rFonts w:hint="eastAsia" w:ascii="Times New Roman" w:hAnsi="Times New Roman"/>
                <w:b/>
                <w:bCs/>
                <w:kern w:val="0"/>
                <w:sz w:val="21"/>
                <w:szCs w:val="21"/>
              </w:rPr>
              <w:t>2024</w:t>
            </w:r>
            <w:r>
              <w:rPr>
                <w:rFonts w:ascii="Times New Roman" w:hAnsi="Times New Roman"/>
                <w:b/>
                <w:bCs/>
                <w:kern w:val="0"/>
                <w:sz w:val="21"/>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2.41</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9.7</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1.77</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1.21</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7</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1.38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1.21</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7</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1.38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1.20</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2.7</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0.39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360.41</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210.32</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207.44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ind w:firstLine="420" w:firstLineChars="200"/>
              <w:jc w:val="left"/>
              <w:rPr>
                <w:rFonts w:ascii="Times New Roman" w:hAnsi="Times New Roman"/>
                <w:b/>
                <w:bCs/>
                <w:kern w:val="0"/>
                <w:sz w:val="21"/>
                <w:szCs w:val="21"/>
              </w:rPr>
            </w:pPr>
            <w:r>
              <w:rPr>
                <w:rFonts w:hint="eastAsia" w:ascii="Times New Roman" w:hAnsi="Times New Roman"/>
                <w:kern w:val="0"/>
                <w:sz w:val="21"/>
                <w:szCs w:val="21"/>
              </w:rPr>
              <w:t>其中：1、业务工作经费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21.61</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16.49</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16.49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b/>
                <w:bCs/>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 xml:space="preserve">       2</w:t>
            </w:r>
            <w:r>
              <w:rPr>
                <w:rFonts w:ascii="Times New Roman" w:hAnsi="Times New Roman"/>
                <w:kern w:val="0"/>
                <w:sz w:val="21"/>
                <w:szCs w:val="21"/>
              </w:rPr>
              <w:t>、运行维护经费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rPr>
                <w:rFonts w:ascii="Times New Roman" w:hAnsi="Times New Roman"/>
                <w:kern w:val="0"/>
                <w:sz w:val="21"/>
                <w:szCs w:val="21"/>
              </w:rPr>
            </w:pP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17</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14.12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ind w:firstLine="1050" w:firstLineChars="500"/>
              <w:rPr>
                <w:rFonts w:ascii="Times New Roman" w:hAnsi="Times New Roman"/>
                <w:kern w:val="0"/>
                <w:sz w:val="21"/>
                <w:szCs w:val="21"/>
              </w:rPr>
            </w:pPr>
            <w:r>
              <w:rPr>
                <w:rFonts w:hint="eastAsia" w:ascii="Times New Roman" w:hAnsi="Times New Roman"/>
                <w:kern w:val="0"/>
                <w:sz w:val="21"/>
                <w:szCs w:val="21"/>
              </w:rPr>
              <w:t>3、市级专项资金</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338.8</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176.83</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176.83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59.22</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50.05</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62.18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hint="eastAsia" w:ascii="Times New Roman" w:hAnsi="Times New Roman"/>
                <w:kern w:val="0"/>
                <w:sz w:val="21"/>
                <w:szCs w:val="21"/>
              </w:rPr>
              <w:t>其中：办公费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1.74</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6</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3.13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hint="eastAsia" w:ascii="Times New Roman" w:hAnsi="Times New Roman"/>
                <w:kern w:val="0"/>
                <w:sz w:val="21"/>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7.48</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5</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9.18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hint="eastAsia" w:ascii="Times New Roman" w:hAnsi="Times New Roman"/>
                <w:kern w:val="0"/>
                <w:sz w:val="21"/>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0.02</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2</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1.34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b/>
                <w:bCs/>
                <w:kern w:val="0"/>
                <w:sz w:val="21"/>
                <w:szCs w:val="21"/>
              </w:rPr>
            </w:pPr>
            <w:r>
              <w:rPr>
                <w:rFonts w:hint="eastAsia" w:ascii="Times New Roman" w:hAnsi="Times New Roman"/>
                <w:b/>
                <w:bCs/>
                <w:kern w:val="0"/>
                <w:sz w:val="21"/>
                <w:szCs w:val="21"/>
              </w:rPr>
              <w:t>部门基本支出预算调整</w:t>
            </w:r>
          </w:p>
        </w:tc>
        <w:tc>
          <w:tcPr>
            <w:tcW w:w="2325"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35.4</w:t>
            </w:r>
          </w:p>
        </w:tc>
        <w:tc>
          <w:tcPr>
            <w:tcW w:w="1936"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kern w:val="0"/>
                <w:sz w:val="21"/>
                <w:szCs w:val="21"/>
              </w:rPr>
            </w:pPr>
            <w:r>
              <w:rPr>
                <w:rFonts w:hint="eastAsia" w:ascii="Times New Roman" w:hAnsi="Times New Roman"/>
                <w:kern w:val="0"/>
                <w:sz w:val="21"/>
                <w:szCs w:val="21"/>
              </w:rPr>
              <w:t>4</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楼堂馆所控制情况</w:t>
            </w:r>
          </w:p>
          <w:p>
            <w:pPr>
              <w:widowControl/>
              <w:spacing w:line="400" w:lineRule="exact"/>
              <w:jc w:val="center"/>
              <w:rPr>
                <w:rFonts w:ascii="Times New Roman" w:hAnsi="Times New Roman"/>
                <w:kern w:val="0"/>
                <w:sz w:val="21"/>
                <w:szCs w:val="21"/>
              </w:rPr>
            </w:pPr>
            <w:r>
              <w:rPr>
                <w:rFonts w:ascii="Times New Roman" w:hAnsi="Times New Roman"/>
                <w:kern w:val="0"/>
                <w:sz w:val="21"/>
                <w:szCs w:val="21"/>
              </w:rPr>
              <w:t>（</w:t>
            </w:r>
            <w:r>
              <w:rPr>
                <w:rFonts w:hint="eastAsia" w:ascii="Times New Roman" w:hAnsi="Times New Roman"/>
                <w:kern w:val="0"/>
                <w:sz w:val="21"/>
                <w:szCs w:val="21"/>
              </w:rPr>
              <w:t>2023</w:t>
            </w:r>
            <w:r>
              <w:rPr>
                <w:rFonts w:ascii="Times New Roman" w:hAnsi="Times New Roman"/>
                <w:kern w:val="0"/>
                <w:sz w:val="21"/>
                <w:szCs w:val="21"/>
              </w:rPr>
              <w:t>年完工项目）</w:t>
            </w:r>
          </w:p>
        </w:tc>
        <w:tc>
          <w:tcPr>
            <w:tcW w:w="120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批复规模</w:t>
            </w:r>
          </w:p>
          <w:p>
            <w:pPr>
              <w:widowControl/>
              <w:spacing w:line="400" w:lineRule="exact"/>
              <w:jc w:val="center"/>
              <w:rPr>
                <w:rFonts w:ascii="Times New Roman" w:hAnsi="Times New Roman"/>
                <w:kern w:val="0"/>
                <w:sz w:val="21"/>
                <w:szCs w:val="21"/>
              </w:rPr>
            </w:pPr>
            <w:r>
              <w:rPr>
                <w:rFonts w:ascii="Times New Roman" w:hAnsi="Times New Roman"/>
                <w:kern w:val="0"/>
                <w:sz w:val="21"/>
                <w:szCs w:val="21"/>
              </w:rPr>
              <w:t>（㎡）</w:t>
            </w:r>
          </w:p>
        </w:tc>
        <w:tc>
          <w:tcPr>
            <w:tcW w:w="1125"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实际规模（㎡）</w:t>
            </w:r>
          </w:p>
        </w:tc>
        <w:tc>
          <w:tcPr>
            <w:tcW w:w="108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规模控制率</w:t>
            </w:r>
          </w:p>
        </w:tc>
        <w:tc>
          <w:tcPr>
            <w:tcW w:w="114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预算投资（万元）</w:t>
            </w:r>
          </w:p>
        </w:tc>
        <w:tc>
          <w:tcPr>
            <w:tcW w:w="96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实际投资（万元）</w:t>
            </w:r>
          </w:p>
        </w:tc>
        <w:tc>
          <w:tcPr>
            <w:tcW w:w="976"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p>
        </w:tc>
        <w:tc>
          <w:tcPr>
            <w:tcW w:w="120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　</w:t>
            </w:r>
          </w:p>
        </w:tc>
        <w:tc>
          <w:tcPr>
            <w:tcW w:w="1125" w:type="dxa"/>
            <w:tcBorders>
              <w:top w:val="nil"/>
              <w:left w:val="nil"/>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w:t>
            </w:r>
          </w:p>
        </w:tc>
        <w:tc>
          <w:tcPr>
            <w:tcW w:w="1080" w:type="dxa"/>
            <w:tcBorders>
              <w:top w:val="nil"/>
              <w:left w:val="nil"/>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w:t>
            </w:r>
          </w:p>
        </w:tc>
        <w:tc>
          <w:tcPr>
            <w:tcW w:w="1140" w:type="dxa"/>
            <w:tcBorders>
              <w:top w:val="nil"/>
              <w:left w:val="nil"/>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w:t>
            </w:r>
          </w:p>
        </w:tc>
        <w:tc>
          <w:tcPr>
            <w:tcW w:w="960" w:type="dxa"/>
            <w:tcBorders>
              <w:top w:val="nil"/>
              <w:left w:val="nil"/>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w:t>
            </w:r>
          </w:p>
        </w:tc>
        <w:tc>
          <w:tcPr>
            <w:tcW w:w="976" w:type="dxa"/>
            <w:tcBorders>
              <w:top w:val="nil"/>
              <w:left w:val="nil"/>
              <w:bottom w:val="single" w:color="auto" w:sz="4" w:space="0"/>
              <w:right w:val="single" w:color="auto"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　</w:t>
            </w:r>
          </w:p>
        </w:tc>
      </w:tr>
      <w:tr>
        <w:tblPrEx>
          <w:tblCellMar>
            <w:top w:w="0" w:type="dxa"/>
            <w:left w:w="108" w:type="dxa"/>
            <w:bottom w:w="0" w:type="dxa"/>
            <w:right w:w="108" w:type="dxa"/>
          </w:tblCellMar>
        </w:tblPrEx>
        <w:trPr>
          <w:trHeight w:val="1026" w:hRule="atLeast"/>
          <w:jc w:val="center"/>
        </w:trPr>
        <w:tc>
          <w:tcPr>
            <w:tcW w:w="321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kern w:val="0"/>
                <w:sz w:val="21"/>
                <w:szCs w:val="21"/>
              </w:rPr>
            </w:pPr>
            <w:r>
              <w:rPr>
                <w:rFonts w:ascii="Times New Roman" w:hAnsi="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vAlign w:val="center"/>
          </w:tcPr>
          <w:p>
            <w:pPr>
              <w:widowControl/>
              <w:spacing w:line="400" w:lineRule="exact"/>
              <w:jc w:val="left"/>
              <w:rPr>
                <w:rFonts w:ascii="Times New Roman" w:hAnsi="Times New Roman"/>
                <w:kern w:val="0"/>
                <w:sz w:val="21"/>
                <w:szCs w:val="21"/>
              </w:rPr>
            </w:pPr>
            <w:r>
              <w:rPr>
                <w:rFonts w:ascii="Times New Roman" w:hAnsi="Times New Roman"/>
                <w:kern w:val="0"/>
                <w:sz w:val="21"/>
                <w:szCs w:val="21"/>
              </w:rPr>
              <w:t>1、加强办公经费和</w:t>
            </w:r>
            <w:r>
              <w:rPr>
                <w:rFonts w:ascii="Times New Roman"/>
                <w:sz w:val="21"/>
                <w:szCs w:val="21"/>
              </w:rPr>
              <w:t>办公用品管理</w:t>
            </w:r>
            <w:r>
              <w:rPr>
                <w:rFonts w:ascii="Times New Roman" w:hAnsi="Times New Roman"/>
                <w:sz w:val="21"/>
                <w:szCs w:val="21"/>
              </w:rPr>
              <w:t xml:space="preserve">  2</w:t>
            </w:r>
            <w:r>
              <w:rPr>
                <w:rFonts w:ascii="Times New Roman"/>
                <w:sz w:val="21"/>
                <w:szCs w:val="21"/>
              </w:rPr>
              <w:t>、从严控制会议和公务接待开支</w:t>
            </w:r>
            <w:r>
              <w:rPr>
                <w:rFonts w:ascii="Times New Roman" w:hAnsi="Times New Roman"/>
                <w:sz w:val="21"/>
                <w:szCs w:val="21"/>
              </w:rPr>
              <w:t xml:space="preserve"> 3</w:t>
            </w:r>
            <w:r>
              <w:rPr>
                <w:rFonts w:ascii="Times New Roman"/>
                <w:sz w:val="21"/>
                <w:szCs w:val="21"/>
              </w:rPr>
              <w:t>、加强公务用车节能管理</w:t>
            </w:r>
            <w:r>
              <w:rPr>
                <w:rFonts w:ascii="Times New Roman" w:hAnsi="Times New Roman"/>
                <w:sz w:val="21"/>
                <w:szCs w:val="21"/>
              </w:rPr>
              <w:t xml:space="preserve">       4</w:t>
            </w:r>
            <w:r>
              <w:rPr>
                <w:rFonts w:ascii="Times New Roman"/>
                <w:sz w:val="21"/>
                <w:szCs w:val="21"/>
              </w:rPr>
              <w:t>、加强差旅费管理　</w:t>
            </w:r>
          </w:p>
        </w:tc>
      </w:tr>
    </w:tbl>
    <w:p>
      <w:pPr>
        <w:widowControl/>
        <w:spacing w:line="400" w:lineRule="exact"/>
        <w:jc w:val="left"/>
        <w:rPr>
          <w:rFonts w:ascii="Times New Roman" w:hAnsi="Times New Roman"/>
          <w:kern w:val="0"/>
          <w:sz w:val="22"/>
          <w:szCs w:val="24"/>
        </w:rPr>
      </w:pPr>
      <w:r>
        <w:rPr>
          <w:rFonts w:ascii="Times New Roman"/>
          <w:kern w:val="0"/>
          <w:sz w:val="22"/>
          <w:szCs w:val="24"/>
        </w:rPr>
        <w:t>说明：</w:t>
      </w:r>
      <w:r>
        <w:rPr>
          <w:rFonts w:ascii="Times New Roman" w:hAnsi="Times New Roman"/>
          <w:kern w:val="0"/>
          <w:sz w:val="22"/>
          <w:szCs w:val="24"/>
        </w:rPr>
        <w:t>“</w:t>
      </w:r>
      <w:r>
        <w:rPr>
          <w:rFonts w:ascii="Times New Roman"/>
          <w:kern w:val="0"/>
          <w:sz w:val="22"/>
          <w:szCs w:val="24"/>
        </w:rPr>
        <w:t>项目支出</w:t>
      </w:r>
      <w:r>
        <w:rPr>
          <w:rFonts w:ascii="Times New Roman" w:hAnsi="Times New Roman"/>
          <w:kern w:val="0"/>
          <w:sz w:val="22"/>
          <w:szCs w:val="24"/>
        </w:rPr>
        <w:t>”</w:t>
      </w:r>
      <w:r>
        <w:rPr>
          <w:rFonts w:ascii="Times New Roman"/>
          <w:kern w:val="0"/>
          <w:sz w:val="22"/>
          <w:szCs w:val="24"/>
        </w:rPr>
        <w:t>需要填报基本支出以外的所有项目支出情况，</w:t>
      </w:r>
      <w:r>
        <w:rPr>
          <w:rFonts w:ascii="Times New Roman" w:hAnsi="Times New Roman"/>
          <w:kern w:val="0"/>
          <w:sz w:val="22"/>
          <w:szCs w:val="24"/>
        </w:rPr>
        <w:t>“</w:t>
      </w:r>
      <w:r>
        <w:rPr>
          <w:rFonts w:ascii="Times New Roman"/>
          <w:kern w:val="0"/>
          <w:sz w:val="22"/>
          <w:szCs w:val="24"/>
        </w:rPr>
        <w:t>运行维护经费</w:t>
      </w:r>
      <w:r>
        <w:rPr>
          <w:rFonts w:ascii="Times New Roman" w:hAnsi="Times New Roman"/>
          <w:kern w:val="0"/>
          <w:sz w:val="22"/>
          <w:szCs w:val="24"/>
        </w:rPr>
        <w:t>”</w:t>
      </w:r>
      <w:r>
        <w:rPr>
          <w:rFonts w:ascii="Times New Roman"/>
          <w:kern w:val="0"/>
          <w:sz w:val="22"/>
          <w:szCs w:val="24"/>
        </w:rPr>
        <w:t>填报项目支出中用于人员类和公用运转类的支出。</w:t>
      </w:r>
      <w:r>
        <w:rPr>
          <w:rFonts w:ascii="Times New Roman" w:hAnsi="Times New Roman"/>
          <w:kern w:val="0"/>
          <w:sz w:val="22"/>
          <w:szCs w:val="24"/>
        </w:rPr>
        <w:t>“</w:t>
      </w:r>
      <w:r>
        <w:rPr>
          <w:rFonts w:ascii="Times New Roman"/>
          <w:kern w:val="0"/>
          <w:sz w:val="22"/>
          <w:szCs w:val="24"/>
        </w:rPr>
        <w:t>公用经费</w:t>
      </w:r>
      <w:r>
        <w:rPr>
          <w:rFonts w:ascii="Times New Roman" w:hAnsi="Times New Roman"/>
          <w:kern w:val="0"/>
          <w:sz w:val="22"/>
          <w:szCs w:val="24"/>
        </w:rPr>
        <w:t>”</w:t>
      </w:r>
      <w:r>
        <w:rPr>
          <w:rFonts w:ascii="Times New Roman"/>
          <w:kern w:val="0"/>
          <w:sz w:val="22"/>
          <w:szCs w:val="24"/>
        </w:rPr>
        <w:t>填报基本支出中的一般商品和服务支出。</w:t>
      </w:r>
    </w:p>
    <w:p>
      <w:pPr>
        <w:widowControl/>
        <w:spacing w:line="400" w:lineRule="exact"/>
        <w:jc w:val="left"/>
        <w:rPr>
          <w:rFonts w:ascii="Times New Roman"/>
          <w:kern w:val="0"/>
          <w:sz w:val="22"/>
          <w:szCs w:val="24"/>
        </w:rPr>
      </w:pPr>
    </w:p>
    <w:p>
      <w:pPr>
        <w:widowControl/>
        <w:spacing w:line="400" w:lineRule="exact"/>
        <w:jc w:val="left"/>
        <w:rPr>
          <w:rFonts w:ascii="Times New Roman" w:hAnsi="Times New Roman" w:eastAsia="黑体"/>
          <w:szCs w:val="32"/>
        </w:rPr>
      </w:pPr>
      <w:r>
        <w:rPr>
          <w:rFonts w:ascii="Times New Roman"/>
          <w:kern w:val="0"/>
          <w:sz w:val="22"/>
          <w:szCs w:val="24"/>
        </w:rPr>
        <w:t>填表人：</w:t>
      </w:r>
      <w:r>
        <w:rPr>
          <w:rFonts w:hint="eastAsia" w:ascii="Times New Roman"/>
          <w:kern w:val="0"/>
          <w:sz w:val="22"/>
          <w:szCs w:val="24"/>
        </w:rPr>
        <w:t>方亚龙</w:t>
      </w:r>
      <w:r>
        <w:rPr>
          <w:rFonts w:ascii="Times New Roman" w:hAnsi="Times New Roman"/>
          <w:kern w:val="0"/>
          <w:sz w:val="22"/>
          <w:szCs w:val="24"/>
        </w:rPr>
        <w:t xml:space="preserve"> </w:t>
      </w:r>
      <w:r>
        <w:rPr>
          <w:rFonts w:ascii="Times New Roman"/>
          <w:kern w:val="0"/>
          <w:sz w:val="22"/>
          <w:szCs w:val="24"/>
        </w:rPr>
        <w:t>填报日期：</w:t>
      </w:r>
      <w:r>
        <w:rPr>
          <w:rFonts w:hint="eastAsia" w:ascii="Times New Roman" w:hAnsi="Times New Roman"/>
          <w:kern w:val="0"/>
          <w:sz w:val="22"/>
          <w:szCs w:val="24"/>
        </w:rPr>
        <w:t>2025.4.22</w:t>
      </w:r>
      <w:r>
        <w:rPr>
          <w:rFonts w:ascii="Times New Roman" w:hAnsi="Times New Roman"/>
          <w:kern w:val="0"/>
          <w:sz w:val="22"/>
          <w:szCs w:val="24"/>
        </w:rPr>
        <w:t xml:space="preserve">  </w:t>
      </w:r>
      <w:r>
        <w:rPr>
          <w:rFonts w:ascii="Times New Roman"/>
          <w:kern w:val="0"/>
          <w:sz w:val="22"/>
          <w:szCs w:val="24"/>
        </w:rPr>
        <w:t>联系电话：</w:t>
      </w:r>
      <w:r>
        <w:rPr>
          <w:rFonts w:hint="eastAsia" w:ascii="Times New Roman" w:hAnsi="Times New Roman"/>
          <w:kern w:val="0"/>
          <w:sz w:val="22"/>
          <w:szCs w:val="24"/>
        </w:rPr>
        <w:t>17363769278</w:t>
      </w:r>
      <w:r>
        <w:rPr>
          <w:rFonts w:ascii="Times New Roman" w:hAnsi="Times New Roman"/>
          <w:kern w:val="0"/>
          <w:sz w:val="22"/>
          <w:szCs w:val="24"/>
        </w:rPr>
        <w:t xml:space="preserve"> </w:t>
      </w:r>
      <w:r>
        <w:rPr>
          <w:rFonts w:ascii="Times New Roman"/>
          <w:kern w:val="0"/>
          <w:sz w:val="22"/>
          <w:szCs w:val="24"/>
        </w:rPr>
        <w:t>单位负责人签字：</w:t>
      </w:r>
      <w:r>
        <w:rPr>
          <w:rFonts w:ascii="Times New Roman" w:hAnsi="Times New Roman"/>
          <w:kern w:val="0"/>
          <w:sz w:val="22"/>
          <w:szCs w:val="24"/>
        </w:rPr>
        <w:br w:type="page"/>
      </w:r>
      <w:r>
        <w:rPr>
          <w:rFonts w:ascii="Times New Roman" w:hAnsi="Times New Roman" w:eastAsia="黑体"/>
          <w:szCs w:val="32"/>
        </w:rPr>
        <w:t>附件2</w:t>
      </w:r>
    </w:p>
    <w:p>
      <w:pPr>
        <w:widowControl/>
        <w:spacing w:line="600" w:lineRule="exact"/>
        <w:jc w:val="center"/>
        <w:rPr>
          <w:rFonts w:ascii="Times New Roman" w:hAnsi="Times New Roman" w:eastAsia="方正小标宋_GBK"/>
          <w:color w:val="000000"/>
          <w:kern w:val="0"/>
          <w:sz w:val="36"/>
          <w:szCs w:val="36"/>
        </w:rPr>
      </w:pPr>
      <w:r>
        <w:rPr>
          <w:rFonts w:hint="eastAsia" w:ascii="Times New Roman" w:hAnsi="Times New Roman" w:eastAsia="方正小标宋_GBK"/>
          <w:color w:val="000000"/>
          <w:kern w:val="0"/>
          <w:sz w:val="36"/>
          <w:szCs w:val="36"/>
        </w:rPr>
        <w:t>2024</w:t>
      </w:r>
      <w:r>
        <w:rPr>
          <w:rFonts w:ascii="Times New Roman" w:hAnsi="Times New Roman" w:eastAsia="方正小标宋_GBK"/>
          <w:color w:val="000000"/>
          <w:kern w:val="0"/>
          <w:sz w:val="36"/>
          <w:szCs w:val="36"/>
        </w:rPr>
        <w:t>年度部门整体支出绩效自评表</w:t>
      </w:r>
    </w:p>
    <w:tbl>
      <w:tblPr>
        <w:tblStyle w:val="10"/>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25"/>
        <w:gridCol w:w="1051"/>
        <w:gridCol w:w="1913"/>
        <w:gridCol w:w="246"/>
        <w:gridCol w:w="1049"/>
        <w:gridCol w:w="1811"/>
        <w:gridCol w:w="930"/>
        <w:gridCol w:w="750"/>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预算部门</w:t>
            </w:r>
          </w:p>
        </w:tc>
        <w:tc>
          <w:tcPr>
            <w:tcW w:w="9413" w:type="dxa"/>
            <w:gridSpan w:val="9"/>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共青团益阳市委员会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年度预算申请</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（万元）</w:t>
            </w:r>
          </w:p>
        </w:tc>
        <w:tc>
          <w:tcPr>
            <w:tcW w:w="1876" w:type="dxa"/>
            <w:gridSpan w:val="2"/>
            <w:vAlign w:val="center"/>
          </w:tcPr>
          <w:p>
            <w:pPr>
              <w:widowControl/>
              <w:spacing w:line="400" w:lineRule="exact"/>
              <w:jc w:val="center"/>
              <w:rPr>
                <w:rFonts w:ascii="Times New Roman" w:hAnsi="Times New Roman"/>
                <w:sz w:val="21"/>
                <w:szCs w:val="21"/>
              </w:rPr>
            </w:pPr>
          </w:p>
        </w:tc>
        <w:tc>
          <w:tcPr>
            <w:tcW w:w="1913" w:type="dxa"/>
            <w:vAlign w:val="center"/>
          </w:tcPr>
          <w:p>
            <w:pPr>
              <w:widowControl/>
              <w:spacing w:line="400" w:lineRule="exact"/>
              <w:jc w:val="center"/>
              <w:rPr>
                <w:rFonts w:ascii="Times New Roman" w:hAnsi="Times New Roman"/>
                <w:sz w:val="21"/>
                <w:szCs w:val="21"/>
              </w:rPr>
            </w:pPr>
            <w:r>
              <w:rPr>
                <w:rFonts w:ascii="Times New Roman" w:hAnsi="Times New Roman"/>
                <w:sz w:val="21"/>
                <w:szCs w:val="21"/>
              </w:rPr>
              <w:t>年初预算数</w:t>
            </w:r>
          </w:p>
        </w:tc>
        <w:tc>
          <w:tcPr>
            <w:tcW w:w="1295" w:type="dxa"/>
            <w:gridSpan w:val="2"/>
            <w:vAlign w:val="center"/>
          </w:tcPr>
          <w:p>
            <w:pPr>
              <w:widowControl/>
              <w:spacing w:line="400" w:lineRule="exact"/>
              <w:jc w:val="center"/>
              <w:rPr>
                <w:rFonts w:ascii="Times New Roman" w:hAnsi="Times New Roman"/>
                <w:sz w:val="21"/>
                <w:szCs w:val="21"/>
              </w:rPr>
            </w:pPr>
            <w:r>
              <w:rPr>
                <w:rFonts w:ascii="Times New Roman" w:hAnsi="Times New Roman"/>
                <w:sz w:val="21"/>
                <w:szCs w:val="21"/>
              </w:rPr>
              <w:t>全年预算数</w:t>
            </w:r>
          </w:p>
        </w:tc>
        <w:tc>
          <w:tcPr>
            <w:tcW w:w="1811" w:type="dxa"/>
            <w:vAlign w:val="center"/>
          </w:tcPr>
          <w:p>
            <w:pPr>
              <w:widowControl/>
              <w:spacing w:line="400" w:lineRule="exact"/>
              <w:jc w:val="center"/>
              <w:rPr>
                <w:rFonts w:ascii="Times New Roman" w:hAnsi="Times New Roman"/>
                <w:sz w:val="21"/>
                <w:szCs w:val="21"/>
              </w:rPr>
            </w:pPr>
            <w:r>
              <w:rPr>
                <w:rFonts w:ascii="Times New Roman" w:hAnsi="Times New Roman"/>
                <w:sz w:val="21"/>
                <w:szCs w:val="21"/>
              </w:rPr>
              <w:t>全年执行数</w:t>
            </w:r>
          </w:p>
        </w:tc>
        <w:tc>
          <w:tcPr>
            <w:tcW w:w="930" w:type="dxa"/>
            <w:vAlign w:val="center"/>
          </w:tcPr>
          <w:p>
            <w:pPr>
              <w:widowControl/>
              <w:spacing w:line="400" w:lineRule="exact"/>
              <w:jc w:val="center"/>
              <w:rPr>
                <w:rFonts w:ascii="Times New Roman" w:hAnsi="Times New Roman"/>
                <w:sz w:val="21"/>
                <w:szCs w:val="21"/>
              </w:rPr>
            </w:pPr>
            <w:r>
              <w:rPr>
                <w:rFonts w:ascii="Times New Roman" w:hAnsi="Times New Roman"/>
                <w:sz w:val="21"/>
                <w:szCs w:val="21"/>
              </w:rPr>
              <w:t>分值</w:t>
            </w:r>
          </w:p>
        </w:tc>
        <w:tc>
          <w:tcPr>
            <w:tcW w:w="750" w:type="dxa"/>
            <w:vAlign w:val="center"/>
          </w:tcPr>
          <w:p>
            <w:pPr>
              <w:widowControl/>
              <w:spacing w:line="400" w:lineRule="exact"/>
              <w:jc w:val="center"/>
              <w:rPr>
                <w:rFonts w:ascii="Times New Roman" w:hAnsi="Times New Roman"/>
                <w:sz w:val="21"/>
                <w:szCs w:val="21"/>
              </w:rPr>
            </w:pPr>
            <w:r>
              <w:rPr>
                <w:rFonts w:ascii="Times New Roman" w:hAnsi="Times New Roman"/>
                <w:sz w:val="21"/>
                <w:szCs w:val="21"/>
              </w:rPr>
              <w:t>执行率</w:t>
            </w:r>
          </w:p>
        </w:tc>
        <w:tc>
          <w:tcPr>
            <w:tcW w:w="838" w:type="dxa"/>
            <w:vAlign w:val="center"/>
          </w:tcPr>
          <w:p>
            <w:pPr>
              <w:widowControl/>
              <w:spacing w:line="400" w:lineRule="exact"/>
              <w:jc w:val="center"/>
              <w:rPr>
                <w:rFonts w:ascii="Times New Roman" w:hAnsi="Times New Roman"/>
                <w:sz w:val="21"/>
                <w:szCs w:val="21"/>
              </w:rPr>
            </w:pPr>
            <w:r>
              <w:rPr>
                <w:rFonts w:ascii="Times New Roman" w:hAns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center"/>
              <w:rPr>
                <w:rFonts w:ascii="Times New Roman" w:hAnsi="Times New Roman"/>
                <w:color w:val="000000"/>
                <w:kern w:val="0"/>
                <w:sz w:val="21"/>
                <w:szCs w:val="21"/>
              </w:rPr>
            </w:pPr>
          </w:p>
        </w:tc>
        <w:tc>
          <w:tcPr>
            <w:tcW w:w="1876" w:type="dxa"/>
            <w:gridSpan w:val="2"/>
            <w:vAlign w:val="center"/>
          </w:tcPr>
          <w:p>
            <w:pPr>
              <w:widowControl/>
              <w:spacing w:line="400" w:lineRule="exact"/>
              <w:jc w:val="center"/>
              <w:rPr>
                <w:rFonts w:ascii="Times New Roman" w:hAnsi="Times New Roman"/>
                <w:sz w:val="21"/>
                <w:szCs w:val="21"/>
              </w:rPr>
            </w:pPr>
            <w:r>
              <w:rPr>
                <w:rFonts w:ascii="Times New Roman" w:hAnsi="Times New Roman"/>
                <w:color w:val="000000"/>
                <w:kern w:val="0"/>
                <w:sz w:val="21"/>
                <w:szCs w:val="21"/>
              </w:rPr>
              <w:t>年度资金总额</w:t>
            </w:r>
          </w:p>
        </w:tc>
        <w:tc>
          <w:tcPr>
            <w:tcW w:w="1913" w:type="dxa"/>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227.76</w:t>
            </w:r>
          </w:p>
        </w:tc>
        <w:tc>
          <w:tcPr>
            <w:tcW w:w="1295" w:type="dxa"/>
            <w:gridSpan w:val="2"/>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456.99</w:t>
            </w:r>
          </w:p>
        </w:tc>
        <w:tc>
          <w:tcPr>
            <w:tcW w:w="1811" w:type="dxa"/>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454.11</w:t>
            </w:r>
          </w:p>
        </w:tc>
        <w:tc>
          <w:tcPr>
            <w:tcW w:w="930" w:type="dxa"/>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10</w:t>
            </w:r>
          </w:p>
        </w:tc>
        <w:tc>
          <w:tcPr>
            <w:tcW w:w="750" w:type="dxa"/>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99.37%</w:t>
            </w:r>
          </w:p>
        </w:tc>
        <w:tc>
          <w:tcPr>
            <w:tcW w:w="838" w:type="dxa"/>
            <w:vAlign w:val="center"/>
          </w:tcPr>
          <w:p>
            <w:pPr>
              <w:widowControl/>
              <w:spacing w:line="400" w:lineRule="exact"/>
              <w:jc w:val="center"/>
              <w:rPr>
                <w:rFonts w:ascii="Times New Roman" w:hAnsi="Times New Roman"/>
                <w:sz w:val="21"/>
                <w:szCs w:val="21"/>
              </w:rPr>
            </w:pPr>
            <w:r>
              <w:rPr>
                <w:rFonts w:hint="eastAsia" w:ascii="Times New Roman" w:hAnsi="Times New Roman"/>
                <w:sz w:val="21"/>
                <w:szCs w:val="21"/>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按收入性质分：</w:t>
            </w:r>
          </w:p>
        </w:tc>
        <w:tc>
          <w:tcPr>
            <w:tcW w:w="4329" w:type="dxa"/>
            <w:gridSpan w:val="4"/>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其中：  一般公共预算：</w:t>
            </w:r>
            <w:r>
              <w:rPr>
                <w:rFonts w:hint="eastAsia" w:ascii="Times New Roman" w:hAnsi="Times New Roman"/>
                <w:sz w:val="21"/>
                <w:szCs w:val="21"/>
              </w:rPr>
              <w:t>439.99</w:t>
            </w:r>
          </w:p>
        </w:tc>
        <w:tc>
          <w:tcPr>
            <w:tcW w:w="4329" w:type="dxa"/>
            <w:gridSpan w:val="4"/>
            <w:vAlign w:val="center"/>
          </w:tcPr>
          <w:p>
            <w:pPr>
              <w:widowControl/>
              <w:spacing w:line="400" w:lineRule="exact"/>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其中：基本支出：</w:t>
            </w:r>
            <w:r>
              <w:rPr>
                <w:rFonts w:hint="eastAsia" w:ascii="Times New Roman" w:hAnsi="Times New Roman"/>
                <w:sz w:val="21"/>
                <w:szCs w:val="21"/>
                <w:lang w:val="en-US" w:eastAsia="zh-CN"/>
              </w:rPr>
              <w:t>246.67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400" w:lineRule="exact"/>
              <w:ind w:firstLine="840" w:firstLineChars="400"/>
              <w:jc w:val="left"/>
              <w:rPr>
                <w:rFonts w:ascii="Times New Roman" w:hAnsi="Times New Roman"/>
                <w:color w:val="000000"/>
                <w:kern w:val="0"/>
                <w:sz w:val="21"/>
                <w:szCs w:val="21"/>
              </w:rPr>
            </w:pPr>
            <w:r>
              <w:rPr>
                <w:rFonts w:ascii="Times New Roman" w:hAnsi="Times New Roman"/>
                <w:color w:val="000000"/>
                <w:kern w:val="0"/>
                <w:sz w:val="21"/>
                <w:szCs w:val="21"/>
              </w:rPr>
              <w:t>政府性基金拨款：</w:t>
            </w:r>
          </w:p>
        </w:tc>
        <w:tc>
          <w:tcPr>
            <w:tcW w:w="4329" w:type="dxa"/>
            <w:gridSpan w:val="4"/>
            <w:vAlign w:val="center"/>
          </w:tcPr>
          <w:p>
            <w:pPr>
              <w:widowControl/>
              <w:spacing w:line="400" w:lineRule="exact"/>
              <w:ind w:firstLine="630" w:firstLineChars="300"/>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项目支出：</w:t>
            </w:r>
            <w:r>
              <w:rPr>
                <w:rFonts w:hint="eastAsia" w:ascii="Times New Roman" w:hAnsi="Times New Roman"/>
                <w:sz w:val="21"/>
                <w:szCs w:val="21"/>
                <w:lang w:val="en-US" w:eastAsia="zh-CN"/>
              </w:rPr>
              <w:t>207.44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纳入专户管理的非税收入拨款：</w:t>
            </w:r>
          </w:p>
        </w:tc>
        <w:tc>
          <w:tcPr>
            <w:tcW w:w="4329" w:type="dxa"/>
            <w:gridSpan w:val="4"/>
            <w:vAlign w:val="center"/>
          </w:tcPr>
          <w:p>
            <w:pPr>
              <w:widowControl/>
              <w:spacing w:line="400" w:lineRule="exact"/>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400" w:lineRule="exact"/>
              <w:ind w:firstLine="1470" w:firstLineChars="700"/>
              <w:jc w:val="left"/>
              <w:rPr>
                <w:rFonts w:ascii="Times New Roman" w:hAnsi="Times New Roman"/>
                <w:color w:val="000000"/>
                <w:kern w:val="0"/>
                <w:sz w:val="21"/>
                <w:szCs w:val="21"/>
              </w:rPr>
            </w:pPr>
            <w:r>
              <w:rPr>
                <w:rFonts w:ascii="Times New Roman" w:hAnsi="Times New Roman"/>
                <w:color w:val="000000"/>
                <w:kern w:val="0"/>
                <w:sz w:val="21"/>
                <w:szCs w:val="21"/>
              </w:rPr>
              <w:t>其他资金：</w:t>
            </w:r>
            <w:r>
              <w:rPr>
                <w:rFonts w:hint="eastAsia" w:ascii="Times New Roman" w:hAnsi="Times New Roman"/>
                <w:sz w:val="21"/>
                <w:szCs w:val="21"/>
              </w:rPr>
              <w:t>17</w:t>
            </w:r>
          </w:p>
        </w:tc>
        <w:tc>
          <w:tcPr>
            <w:tcW w:w="4329" w:type="dxa"/>
            <w:gridSpan w:val="4"/>
            <w:vAlign w:val="center"/>
          </w:tcPr>
          <w:p>
            <w:pPr>
              <w:widowControl/>
              <w:spacing w:line="400" w:lineRule="exact"/>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5084" w:type="dxa"/>
            <w:gridSpan w:val="5"/>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329" w:type="dxa"/>
            <w:gridSpan w:val="4"/>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5084" w:type="dxa"/>
            <w:gridSpan w:val="5"/>
            <w:vAlign w:val="center"/>
          </w:tcPr>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1、领导全市共青团工作，受党的委托领导本市少先队工作。</w:t>
            </w:r>
          </w:p>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2、教育和引导本市团员青年贯彻党的基本路线，培育和践行社会主义核心价值观。</w:t>
            </w:r>
          </w:p>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3、关心青少年的工作、学习和生活，切实服务青少年，促进青少年事业发展。</w:t>
            </w:r>
          </w:p>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4、加强对青少年的网上宣传教育，弘扬网上主旋律。</w:t>
            </w:r>
          </w:p>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5、承办市委、市政府和团省委交办的其他事项</w:t>
            </w:r>
          </w:p>
        </w:tc>
        <w:tc>
          <w:tcPr>
            <w:tcW w:w="4329" w:type="dxa"/>
            <w:gridSpan w:val="4"/>
            <w:vAlign w:val="center"/>
          </w:tcPr>
          <w:p>
            <w:pPr>
              <w:widowControl/>
              <w:spacing w:line="220" w:lineRule="exact"/>
              <w:jc w:val="left"/>
              <w:rPr>
                <w:rFonts w:ascii="Times New Roman" w:hAnsi="Times New Roman" w:eastAsia="方正楷体_GBK"/>
                <w:color w:val="000000"/>
                <w:kern w:val="0"/>
                <w:sz w:val="21"/>
                <w:szCs w:val="21"/>
              </w:rPr>
            </w:pPr>
            <w:r>
              <w:rPr>
                <w:rFonts w:ascii="Times New Roman" w:hAnsi="Times New Roman"/>
                <w:color w:val="000000"/>
                <w:kern w:val="0"/>
                <w:sz w:val="21"/>
                <w:szCs w:val="21"/>
              </w:rPr>
              <w:t>1、抓住重要时间节点，开展座谈会</w:t>
            </w:r>
            <w:r>
              <w:rPr>
                <w:rFonts w:hint="eastAsia" w:ascii="Times New Roman" w:hAnsi="Times New Roman"/>
                <w:color w:val="000000"/>
                <w:kern w:val="0"/>
                <w:sz w:val="21"/>
                <w:szCs w:val="21"/>
              </w:rPr>
              <w:t>、示范宣讲、读书班等</w:t>
            </w:r>
            <w:r>
              <w:rPr>
                <w:rFonts w:ascii="Times New Roman" w:hAnsi="Times New Roman"/>
                <w:color w:val="000000"/>
                <w:kern w:val="0"/>
                <w:sz w:val="21"/>
                <w:szCs w:val="21"/>
              </w:rPr>
              <w:t>主题活动。多形式开展</w:t>
            </w:r>
            <w:r>
              <w:rPr>
                <w:rFonts w:hint="eastAsia" w:ascii="Times New Roman" w:hAnsi="Times New Roman"/>
                <w:color w:val="000000"/>
                <w:kern w:val="0"/>
                <w:sz w:val="21"/>
                <w:szCs w:val="21"/>
              </w:rPr>
              <w:t>主题</w:t>
            </w:r>
            <w:r>
              <w:rPr>
                <w:rFonts w:ascii="Times New Roman" w:hAnsi="Times New Roman"/>
                <w:color w:val="000000"/>
                <w:kern w:val="0"/>
                <w:sz w:val="21"/>
                <w:szCs w:val="21"/>
              </w:rPr>
              <w:t>教育，引导青少年坚定“四个自信”。2、广泛开展“七彩假期”暑期关爱少年儿童志愿服务活动。促推青年创新创业创优。3、进一步打造“青年之家”品牌项目，丰富创新团的基层组织形态，加大团教协作力度，压实全团带队职责，抓好团队衔接、学社衔接、党团衔接，着力加强团员先进性建设。4、</w:t>
            </w:r>
            <w:r>
              <w:rPr>
                <w:rFonts w:hint="eastAsia" w:ascii="Times New Roman" w:hAnsi="Times New Roman"/>
                <w:color w:val="000000"/>
                <w:kern w:val="0"/>
                <w:sz w:val="21"/>
                <w:szCs w:val="21"/>
              </w:rPr>
              <w:t>推进青年交融交往，护航青少年健康成长，全面推进团青学少改革，全力建设清廉益阳共青团。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标</w:t>
            </w:r>
          </w:p>
          <w:p>
            <w:pPr>
              <w:widowControl/>
              <w:spacing w:line="400" w:lineRule="exact"/>
              <w:jc w:val="center"/>
              <w:rPr>
                <w:rFonts w:ascii="Times New Roman" w:hAnsi="Times New Roman"/>
                <w:color w:val="000000"/>
                <w:kern w:val="0"/>
                <w:sz w:val="21"/>
                <w:szCs w:val="21"/>
              </w:rPr>
            </w:pPr>
          </w:p>
        </w:tc>
        <w:tc>
          <w:tcPr>
            <w:tcW w:w="825"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2159" w:type="dxa"/>
            <w:gridSpan w:val="2"/>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049"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811" w:type="dxa"/>
            <w:vAlign w:val="center"/>
          </w:tcPr>
          <w:p>
            <w:pPr>
              <w:widowControl/>
              <w:spacing w:line="400" w:lineRule="exact"/>
              <w:rPr>
                <w:rFonts w:ascii="Times New Roman" w:hAnsi="Times New Roman"/>
                <w:color w:val="000000"/>
                <w:kern w:val="0"/>
                <w:sz w:val="21"/>
                <w:szCs w:val="21"/>
              </w:rPr>
            </w:pPr>
            <w:r>
              <w:rPr>
                <w:rFonts w:ascii="Times New Roman" w:hAnsi="Times New Roman"/>
                <w:color w:val="000000"/>
                <w:kern w:val="0"/>
                <w:sz w:val="21"/>
                <w:szCs w:val="21"/>
              </w:rPr>
              <w:t>实际完成值</w:t>
            </w:r>
          </w:p>
        </w:tc>
        <w:tc>
          <w:tcPr>
            <w:tcW w:w="930"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750"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838" w:type="dxa"/>
            <w:vAlign w:val="center"/>
          </w:tcPr>
          <w:p>
            <w:pPr>
              <w:widowControl/>
              <w:spacing w:line="240" w:lineRule="exact"/>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spacing w:line="400" w:lineRule="exact"/>
              <w:jc w:val="center"/>
              <w:rPr>
                <w:rFonts w:ascii="Times New Roman" w:hAnsi="Times New Roman"/>
                <w:color w:val="000000"/>
                <w:kern w:val="0"/>
                <w:sz w:val="21"/>
                <w:szCs w:val="21"/>
              </w:rPr>
            </w:pP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1051"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数量</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指标1：</w:t>
            </w:r>
            <w:r>
              <w:rPr>
                <w:rFonts w:hint="eastAsia" w:ascii="Times New Roman" w:hAnsi="Times New Roman"/>
                <w:color w:val="000000"/>
                <w:kern w:val="0"/>
                <w:sz w:val="21"/>
                <w:szCs w:val="21"/>
              </w:rPr>
              <w:t>志愿服务活动</w:t>
            </w:r>
          </w:p>
        </w:tc>
        <w:tc>
          <w:tcPr>
            <w:tcW w:w="1049" w:type="dxa"/>
            <w:vAlign w:val="center"/>
          </w:tcPr>
          <w:p>
            <w:pPr>
              <w:widowControl/>
              <w:spacing w:line="40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20</w:t>
            </w:r>
            <w:r>
              <w:rPr>
                <w:rFonts w:ascii="Times New Roman" w:hAnsi="Times New Roman"/>
                <w:color w:val="000000"/>
                <w:kern w:val="0"/>
                <w:sz w:val="21"/>
                <w:szCs w:val="21"/>
              </w:rPr>
              <w:t>次</w:t>
            </w:r>
          </w:p>
        </w:tc>
        <w:tc>
          <w:tcPr>
            <w:tcW w:w="1811" w:type="dxa"/>
            <w:vAlign w:val="center"/>
          </w:tcPr>
          <w:p>
            <w:pPr>
              <w:widowControl/>
              <w:spacing w:line="220" w:lineRule="exact"/>
              <w:rPr>
                <w:rFonts w:ascii="Times New Roman" w:hAnsi="Times New Roman"/>
                <w:color w:val="000000"/>
                <w:kern w:val="0"/>
                <w:sz w:val="21"/>
                <w:szCs w:val="21"/>
              </w:rPr>
            </w:pPr>
            <w:r>
              <w:rPr>
                <w:rFonts w:hint="eastAsia" w:ascii="Times New Roman" w:hAnsi="Times New Roman"/>
                <w:color w:val="000000"/>
                <w:kern w:val="0"/>
                <w:sz w:val="21"/>
                <w:szCs w:val="21"/>
              </w:rPr>
              <w:t>开展垃圾分类、净滩行动、护河巡河等志愿服务活动694场，参与人员2万人次</w:t>
            </w:r>
          </w:p>
        </w:tc>
        <w:tc>
          <w:tcPr>
            <w:tcW w:w="930"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Merge w:val="continue"/>
            <w:vAlign w:val="center"/>
          </w:tcPr>
          <w:p>
            <w:pPr>
              <w:widowControl/>
              <w:spacing w:line="400" w:lineRule="exact"/>
              <w:jc w:val="center"/>
              <w:rPr>
                <w:rFonts w:ascii="Times New Roman" w:hAnsi="Times New Roman"/>
                <w:color w:val="000000"/>
                <w:kern w:val="0"/>
                <w:sz w:val="21"/>
                <w:szCs w:val="21"/>
              </w:rPr>
            </w:pP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指标2：</w:t>
            </w:r>
            <w:r>
              <w:rPr>
                <w:rFonts w:hint="eastAsia" w:ascii="Times New Roman" w:hAnsi="Times New Roman"/>
                <w:color w:val="000000"/>
                <w:kern w:val="0"/>
                <w:sz w:val="21"/>
                <w:szCs w:val="21"/>
              </w:rPr>
              <w:t>对青少年的网上宣传教育</w:t>
            </w:r>
          </w:p>
        </w:tc>
        <w:tc>
          <w:tcPr>
            <w:tcW w:w="1049"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150篇</w:t>
            </w:r>
          </w:p>
        </w:tc>
        <w:tc>
          <w:tcPr>
            <w:tcW w:w="1811" w:type="dxa"/>
            <w:vAlign w:val="center"/>
          </w:tcPr>
          <w:p>
            <w:pPr>
              <w:widowControl/>
              <w:spacing w:line="220" w:lineRule="exact"/>
              <w:rPr>
                <w:rFonts w:ascii="Times New Roman" w:hAnsi="Times New Roman"/>
                <w:color w:val="000000"/>
                <w:kern w:val="0"/>
                <w:sz w:val="21"/>
                <w:szCs w:val="21"/>
              </w:rPr>
            </w:pPr>
            <w:r>
              <w:rPr>
                <w:rFonts w:hint="eastAsia" w:ascii="Times New Roman" w:hAnsi="Times New Roman"/>
                <w:color w:val="000000"/>
                <w:kern w:val="0"/>
                <w:sz w:val="21"/>
                <w:szCs w:val="21"/>
              </w:rPr>
              <w:t>2024年在益阳共青团微信公众号上发布326篇文章</w:t>
            </w:r>
          </w:p>
        </w:tc>
        <w:tc>
          <w:tcPr>
            <w:tcW w:w="930"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Merge w:val="continue"/>
            <w:vAlign w:val="center"/>
          </w:tcPr>
          <w:p>
            <w:pPr>
              <w:widowControl/>
              <w:spacing w:line="400" w:lineRule="exact"/>
              <w:jc w:val="center"/>
              <w:rPr>
                <w:rFonts w:ascii="Times New Roman" w:hAnsi="Times New Roman"/>
                <w:color w:val="000000"/>
                <w:kern w:val="0"/>
                <w:sz w:val="21"/>
                <w:szCs w:val="21"/>
              </w:rPr>
            </w:pP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指标3：</w:t>
            </w:r>
            <w:r>
              <w:rPr>
                <w:rFonts w:hint="eastAsia" w:ascii="Times New Roman" w:hAnsi="Times New Roman"/>
                <w:color w:val="000000"/>
                <w:kern w:val="0"/>
                <w:sz w:val="21"/>
                <w:szCs w:val="21"/>
              </w:rPr>
              <w:t>服务青年成长成才</w:t>
            </w:r>
          </w:p>
        </w:tc>
        <w:tc>
          <w:tcPr>
            <w:tcW w:w="1049" w:type="dxa"/>
            <w:vAlign w:val="center"/>
          </w:tcPr>
          <w:p>
            <w:pPr>
              <w:widowControl/>
              <w:spacing w:line="40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4</w:t>
            </w:r>
            <w:r>
              <w:rPr>
                <w:rFonts w:ascii="Times New Roman" w:hAnsi="Times New Roman"/>
                <w:color w:val="000000"/>
                <w:kern w:val="0"/>
                <w:sz w:val="21"/>
                <w:szCs w:val="21"/>
              </w:rPr>
              <w:t>次</w:t>
            </w:r>
          </w:p>
        </w:tc>
        <w:tc>
          <w:tcPr>
            <w:tcW w:w="1811" w:type="dxa"/>
            <w:vAlign w:val="center"/>
          </w:tcPr>
          <w:p>
            <w:pPr>
              <w:widowControl/>
              <w:spacing w:line="220" w:lineRule="exact"/>
              <w:jc w:val="center"/>
              <w:rPr>
                <w:rFonts w:ascii="Times New Roman" w:hAnsi="Times New Roman"/>
                <w:color w:val="000000"/>
                <w:kern w:val="0"/>
                <w:sz w:val="21"/>
                <w:szCs w:val="21"/>
              </w:rPr>
            </w:pPr>
            <w:r>
              <w:rPr>
                <w:rFonts w:hint="eastAsia" w:ascii="Times New Roman" w:hAnsi="仿宋_GB2312"/>
                <w:sz w:val="21"/>
                <w:szCs w:val="21"/>
              </w:rPr>
              <w:t>青年讲师团团宣讲120余场、“红领巾巡讲团”宣讲280余场“七彩假期”系列活动、关爱青少年身心健康、青年创新创业及交友联谊等活动100余场</w:t>
            </w:r>
          </w:p>
        </w:tc>
        <w:tc>
          <w:tcPr>
            <w:tcW w:w="930"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质量  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指标：统筹推进团组织改革</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全面</w:t>
            </w:r>
          </w:p>
        </w:tc>
        <w:tc>
          <w:tcPr>
            <w:tcW w:w="1811" w:type="dxa"/>
            <w:vAlign w:val="center"/>
          </w:tcPr>
          <w:p>
            <w:pPr>
              <w:widowControl/>
              <w:spacing w:line="220" w:lineRule="exact"/>
              <w:jc w:val="left"/>
              <w:rPr>
                <w:rFonts w:ascii="Times New Roman" w:hAnsi="Times New Roman"/>
                <w:color w:val="000000"/>
                <w:kern w:val="0"/>
                <w:sz w:val="21"/>
                <w:szCs w:val="21"/>
              </w:rPr>
            </w:pPr>
            <w:r>
              <w:rPr>
                <w:rFonts w:hint="eastAsia" w:ascii="Times New Roman" w:hAnsi="仿宋_GB2312"/>
                <w:sz w:val="21"/>
                <w:szCs w:val="21"/>
              </w:rPr>
              <w:t>深化基层团组织改革，全面推进县域共青团改革。</w:t>
            </w:r>
          </w:p>
        </w:tc>
        <w:tc>
          <w:tcPr>
            <w:tcW w:w="930" w:type="dxa"/>
            <w:vAlign w:val="center"/>
          </w:tcPr>
          <w:p>
            <w:pPr>
              <w:widowControl/>
              <w:spacing w:line="40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5</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时效  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指标1：</w:t>
            </w:r>
            <w:r>
              <w:rPr>
                <w:rFonts w:hint="eastAsia" w:ascii="Times New Roman" w:hAnsi="Times New Roman"/>
                <w:color w:val="000000"/>
                <w:kern w:val="0"/>
                <w:sz w:val="21"/>
                <w:szCs w:val="21"/>
              </w:rPr>
              <w:t>各项工作经费及时足额拨付率</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100%</w:t>
            </w:r>
          </w:p>
        </w:tc>
        <w:tc>
          <w:tcPr>
            <w:tcW w:w="1811" w:type="dxa"/>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仿宋_GB2312"/>
                <w:sz w:val="21"/>
                <w:szCs w:val="21"/>
              </w:rPr>
              <w:t>各项工作经费及时足额拨付</w:t>
            </w:r>
          </w:p>
        </w:tc>
        <w:tc>
          <w:tcPr>
            <w:tcW w:w="93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5</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5</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成本  指标</w:t>
            </w:r>
          </w:p>
        </w:tc>
        <w:tc>
          <w:tcPr>
            <w:tcW w:w="2159" w:type="dxa"/>
            <w:gridSpan w:val="2"/>
            <w:vAlign w:val="center"/>
          </w:tcPr>
          <w:p>
            <w:pPr>
              <w:widowControl/>
              <w:spacing w:line="220" w:lineRule="exact"/>
              <w:jc w:val="left"/>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lang w:eastAsia="zh-CN"/>
              </w:rPr>
              <w:t>整体支出</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w:t>
            </w:r>
            <w:r>
              <w:rPr>
                <w:rFonts w:hint="eastAsia" w:ascii="Times New Roman" w:hAnsi="Times New Roman"/>
                <w:color w:val="000000"/>
                <w:kern w:val="0"/>
                <w:sz w:val="21"/>
                <w:szCs w:val="21"/>
                <w:lang w:val="en-US" w:eastAsia="zh-CN"/>
              </w:rPr>
              <w:t>227.76</w:t>
            </w:r>
            <w:r>
              <w:rPr>
                <w:rFonts w:hint="eastAsia" w:ascii="Times New Roman" w:hAnsi="Times New Roman"/>
                <w:color w:val="000000"/>
                <w:kern w:val="0"/>
                <w:sz w:val="21"/>
                <w:szCs w:val="21"/>
              </w:rPr>
              <w:t>万元</w:t>
            </w:r>
          </w:p>
        </w:tc>
        <w:tc>
          <w:tcPr>
            <w:tcW w:w="1811" w:type="dxa"/>
            <w:vAlign w:val="center"/>
          </w:tcPr>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决算支出为</w:t>
            </w:r>
            <w:r>
              <w:rPr>
                <w:rFonts w:hint="eastAsia" w:ascii="Times New Roman" w:hAnsi="Times New Roman"/>
                <w:color w:val="000000"/>
                <w:kern w:val="0"/>
                <w:sz w:val="21"/>
                <w:szCs w:val="21"/>
                <w:lang w:val="en-US" w:eastAsia="zh-CN"/>
              </w:rPr>
              <w:t>454.11</w:t>
            </w:r>
            <w:bookmarkStart w:id="2" w:name="_GoBack"/>
            <w:bookmarkEnd w:id="2"/>
            <w:r>
              <w:rPr>
                <w:rFonts w:hint="eastAsia" w:ascii="Times New Roman" w:hAnsi="Times New Roman"/>
                <w:color w:val="000000"/>
                <w:kern w:val="0"/>
                <w:sz w:val="21"/>
                <w:szCs w:val="21"/>
              </w:rPr>
              <w:t>万元</w:t>
            </w:r>
          </w:p>
        </w:tc>
        <w:tc>
          <w:tcPr>
            <w:tcW w:w="930" w:type="dxa"/>
            <w:vAlign w:val="center"/>
          </w:tcPr>
          <w:p>
            <w:pPr>
              <w:widowControl/>
              <w:spacing w:line="40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750" w:type="dxa"/>
            <w:vAlign w:val="center"/>
          </w:tcPr>
          <w:p>
            <w:pPr>
              <w:widowControl/>
              <w:spacing w:line="40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5</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restart"/>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spacing w:line="400" w:lineRule="exact"/>
              <w:jc w:val="left"/>
              <w:rPr>
                <w:rFonts w:ascii="Times New Roman" w:hAnsi="Times New Roman"/>
                <w:color w:val="000000"/>
                <w:kern w:val="0"/>
                <w:sz w:val="21"/>
                <w:szCs w:val="21"/>
              </w:rPr>
            </w:pPr>
          </w:p>
          <w:p>
            <w:pPr>
              <w:widowControl/>
              <w:spacing w:line="40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(3</w:t>
            </w:r>
            <w:r>
              <w:rPr>
                <w:rFonts w:ascii="Times New Roman" w:hAnsi="Times New Roman"/>
                <w:color w:val="000000"/>
                <w:kern w:val="0"/>
                <w:sz w:val="21"/>
                <w:szCs w:val="21"/>
              </w:rPr>
              <w:t>0分</w:t>
            </w:r>
            <w:r>
              <w:rPr>
                <w:rFonts w:hint="eastAsia" w:ascii="Times New Roman" w:hAnsi="Times New Roman"/>
                <w:color w:val="000000"/>
                <w:kern w:val="0"/>
                <w:sz w:val="21"/>
                <w:szCs w:val="21"/>
              </w:rPr>
              <w:t>)</w:t>
            </w:r>
          </w:p>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p>
            <w:pPr>
              <w:widowControl/>
              <w:spacing w:line="400" w:lineRule="exact"/>
              <w:jc w:val="center"/>
              <w:rPr>
                <w:rFonts w:ascii="Times New Roman" w:hAnsi="Times New Roman"/>
                <w:color w:val="000000"/>
                <w:kern w:val="0"/>
                <w:sz w:val="21"/>
                <w:szCs w:val="21"/>
              </w:rPr>
            </w:pP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811" w:type="dxa"/>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3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Merge w:val="restart"/>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w:t>
            </w:r>
            <w:r>
              <w:rPr>
                <w:rFonts w:hint="eastAsia" w:ascii="Times New Roman" w:hAnsi="Times New Roman"/>
                <w:color w:val="000000"/>
                <w:kern w:val="0"/>
                <w:sz w:val="21"/>
                <w:szCs w:val="21"/>
              </w:rPr>
              <w:t>1</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不断加强青少年思想政治引领</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优化</w:t>
            </w:r>
          </w:p>
        </w:tc>
        <w:tc>
          <w:tcPr>
            <w:tcW w:w="1811" w:type="dxa"/>
            <w:vAlign w:val="center"/>
          </w:tcPr>
          <w:p>
            <w:pPr>
              <w:widowControl/>
              <w:spacing w:line="2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利用清明、五四、六一等重要时间节点，开展网上祭英烈、青春心向党等主题教育活动。组建市级青年讲师团、红领巾巡讲团，开展党的二十届三中全会精神宣讲400余场，覆盖青少年10万余人。</w:t>
            </w:r>
          </w:p>
        </w:tc>
        <w:tc>
          <w:tcPr>
            <w:tcW w:w="930" w:type="dxa"/>
            <w:vAlign w:val="center"/>
          </w:tcPr>
          <w:p>
            <w:pPr>
              <w:widowControl/>
              <w:spacing w:line="40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5</w:t>
            </w:r>
          </w:p>
        </w:tc>
        <w:tc>
          <w:tcPr>
            <w:tcW w:w="750" w:type="dxa"/>
            <w:vAlign w:val="center"/>
          </w:tcPr>
          <w:p>
            <w:pPr>
              <w:widowControl/>
              <w:spacing w:line="40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　</w:t>
            </w: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5</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Merge w:val="continue"/>
            <w:vAlign w:val="center"/>
          </w:tcPr>
          <w:p>
            <w:pPr>
              <w:widowControl/>
              <w:spacing w:line="400" w:lineRule="exact"/>
              <w:jc w:val="center"/>
              <w:rPr>
                <w:rFonts w:ascii="Times New Roman" w:hAnsi="Times New Roman"/>
                <w:color w:val="000000"/>
                <w:kern w:val="0"/>
                <w:sz w:val="21"/>
                <w:szCs w:val="21"/>
              </w:rPr>
            </w:pP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w:t>
            </w:r>
            <w:r>
              <w:rPr>
                <w:rFonts w:hint="eastAsia" w:ascii="Times New Roman" w:hAnsi="Times New Roman"/>
                <w:color w:val="000000"/>
                <w:kern w:val="0"/>
                <w:sz w:val="21"/>
                <w:szCs w:val="21"/>
              </w:rPr>
              <w:t>2：进一步加强共青团基层组织建设</w:t>
            </w:r>
          </w:p>
        </w:tc>
        <w:tc>
          <w:tcPr>
            <w:tcW w:w="1049" w:type="dxa"/>
            <w:vAlign w:val="center"/>
          </w:tcPr>
          <w:p>
            <w:pPr>
              <w:widowControl/>
              <w:spacing w:line="40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全面</w:t>
            </w:r>
          </w:p>
        </w:tc>
        <w:tc>
          <w:tcPr>
            <w:tcW w:w="1811" w:type="dxa"/>
            <w:vAlign w:val="center"/>
          </w:tcPr>
          <w:p>
            <w:pPr>
              <w:widowControl/>
              <w:spacing w:line="220" w:lineRule="exact"/>
              <w:jc w:val="left"/>
              <w:rPr>
                <w:rFonts w:ascii="Times New Roman" w:hAnsi="Times New Roman"/>
                <w:color w:val="000000"/>
                <w:kern w:val="0"/>
                <w:sz w:val="21"/>
                <w:szCs w:val="21"/>
              </w:rPr>
            </w:pPr>
            <w:r>
              <w:rPr>
                <w:rFonts w:hint="eastAsia" w:ascii="Times New Roman" w:hAnsi="仿宋_GB2312"/>
                <w:sz w:val="21"/>
                <w:szCs w:val="21"/>
              </w:rPr>
              <w:t>6个县市区已成立6个县级青联，实现县级青联全覆盖。成立5家中学（中职）共青团名师工作室和5家少先队名师工作室，65个社区成立少工委。</w:t>
            </w:r>
          </w:p>
        </w:tc>
        <w:tc>
          <w:tcPr>
            <w:tcW w:w="930" w:type="dxa"/>
            <w:vAlign w:val="center"/>
          </w:tcPr>
          <w:p>
            <w:pPr>
              <w:widowControl/>
              <w:spacing w:line="400" w:lineRule="exact"/>
              <w:jc w:val="center"/>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5</w:t>
            </w:r>
          </w:p>
        </w:tc>
        <w:tc>
          <w:tcPr>
            <w:tcW w:w="750" w:type="dxa"/>
            <w:vAlign w:val="center"/>
          </w:tcPr>
          <w:p>
            <w:pPr>
              <w:widowControl/>
              <w:spacing w:line="400" w:lineRule="exact"/>
              <w:jc w:val="center"/>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rPr>
              <w:t>1</w:t>
            </w:r>
            <w:r>
              <w:rPr>
                <w:rFonts w:hint="eastAsia" w:ascii="Times New Roman" w:hAnsi="Times New Roman"/>
                <w:color w:val="000000"/>
                <w:kern w:val="0"/>
                <w:sz w:val="21"/>
                <w:szCs w:val="21"/>
                <w:lang w:val="en-US" w:eastAsia="zh-CN"/>
              </w:rPr>
              <w:t>5</w:t>
            </w:r>
          </w:p>
        </w:tc>
        <w:tc>
          <w:tcPr>
            <w:tcW w:w="838" w:type="dxa"/>
            <w:vAlign w:val="center"/>
          </w:tcPr>
          <w:p>
            <w:pPr>
              <w:widowControl/>
              <w:spacing w:line="400" w:lineRule="exact"/>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Merge w:val="continue"/>
            <w:vAlign w:val="center"/>
          </w:tcPr>
          <w:p>
            <w:pPr>
              <w:widowControl/>
              <w:spacing w:line="400" w:lineRule="exact"/>
              <w:jc w:val="left"/>
              <w:rPr>
                <w:rFonts w:ascii="Times New Roman" w:hAnsi="Times New Roman"/>
                <w:color w:val="000000"/>
                <w:kern w:val="0"/>
                <w:sz w:val="21"/>
                <w:szCs w:val="21"/>
              </w:rPr>
            </w:pP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811" w:type="dxa"/>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3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continue"/>
            <w:vAlign w:val="center"/>
          </w:tcPr>
          <w:p>
            <w:pPr>
              <w:widowControl/>
              <w:spacing w:line="400" w:lineRule="exact"/>
              <w:jc w:val="left"/>
              <w:rPr>
                <w:rFonts w:ascii="Times New Roman" w:hAnsi="Times New Roman"/>
                <w:color w:val="000000"/>
                <w:kern w:val="0"/>
                <w:sz w:val="21"/>
                <w:szCs w:val="21"/>
              </w:rPr>
            </w:pPr>
          </w:p>
        </w:tc>
        <w:tc>
          <w:tcPr>
            <w:tcW w:w="825" w:type="dxa"/>
            <w:vAlign w:val="center"/>
          </w:tcPr>
          <w:p>
            <w:pPr>
              <w:widowControl/>
              <w:spacing w:line="40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满意度指标（10分）</w:t>
            </w:r>
          </w:p>
        </w:tc>
        <w:tc>
          <w:tcPr>
            <w:tcW w:w="1051" w:type="dxa"/>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2159" w:type="dxa"/>
            <w:gridSpan w:val="2"/>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指标：服务全市青年满意度</w:t>
            </w:r>
          </w:p>
        </w:tc>
        <w:tc>
          <w:tcPr>
            <w:tcW w:w="1049"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≥90%</w:t>
            </w:r>
          </w:p>
        </w:tc>
        <w:tc>
          <w:tcPr>
            <w:tcW w:w="1811" w:type="dxa"/>
            <w:vAlign w:val="center"/>
          </w:tcPr>
          <w:p>
            <w:pPr>
              <w:widowControl/>
              <w:spacing w:line="220" w:lineRule="exact"/>
              <w:jc w:val="left"/>
              <w:rPr>
                <w:rFonts w:ascii="Times New Roman" w:hAnsi="Times New Roman"/>
                <w:color w:val="000000"/>
                <w:kern w:val="0"/>
                <w:sz w:val="21"/>
                <w:szCs w:val="21"/>
              </w:rPr>
            </w:pPr>
            <w:r>
              <w:rPr>
                <w:rFonts w:ascii="Times New Roman" w:hAnsi="Times New Roman"/>
                <w:color w:val="000000"/>
                <w:kern w:val="0"/>
                <w:sz w:val="21"/>
                <w:szCs w:val="21"/>
              </w:rPr>
              <w:t>　95%</w:t>
            </w:r>
          </w:p>
        </w:tc>
        <w:tc>
          <w:tcPr>
            <w:tcW w:w="93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750"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05" w:type="dxa"/>
            <w:gridSpan w:val="7"/>
            <w:vAlign w:val="center"/>
          </w:tcPr>
          <w:p>
            <w:pPr>
              <w:widowControl/>
              <w:spacing w:line="400" w:lineRule="exact"/>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930" w:type="dxa"/>
            <w:vAlign w:val="center"/>
          </w:tcPr>
          <w:p>
            <w:pPr>
              <w:widowControl/>
              <w:spacing w:line="240" w:lineRule="exact"/>
              <w:rPr>
                <w:rFonts w:ascii="Times New Roman" w:hAnsi="Times New Roman"/>
                <w:color w:val="000000"/>
                <w:kern w:val="0"/>
                <w:sz w:val="21"/>
                <w:szCs w:val="21"/>
              </w:rPr>
            </w:pPr>
            <w:r>
              <w:rPr>
                <w:rFonts w:ascii="Times New Roman" w:hAnsi="Times New Roman"/>
                <w:color w:val="000000"/>
                <w:kern w:val="0"/>
                <w:sz w:val="21"/>
                <w:szCs w:val="21"/>
              </w:rPr>
              <w:t>100分</w:t>
            </w:r>
          </w:p>
        </w:tc>
        <w:tc>
          <w:tcPr>
            <w:tcW w:w="750" w:type="dxa"/>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99.9</w:t>
            </w:r>
            <w:r>
              <w:rPr>
                <w:rFonts w:hint="eastAsia" w:ascii="Times New Roman" w:hAnsi="Times New Roman"/>
                <w:color w:val="000000"/>
                <w:kern w:val="0"/>
                <w:sz w:val="21"/>
                <w:szCs w:val="21"/>
              </w:rPr>
              <w:t>3</w:t>
            </w:r>
          </w:p>
        </w:tc>
        <w:tc>
          <w:tcPr>
            <w:tcW w:w="838" w:type="dxa"/>
            <w:vAlign w:val="center"/>
          </w:tcPr>
          <w:p>
            <w:pPr>
              <w:widowControl/>
              <w:spacing w:line="40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pPr>
        <w:pStyle w:val="4"/>
        <w:spacing w:line="600" w:lineRule="exact"/>
        <w:rPr>
          <w:rFonts w:ascii="Times New Roman" w:hAnsi="Times New Roman"/>
          <w:kern w:val="0"/>
          <w:sz w:val="22"/>
          <w:szCs w:val="24"/>
        </w:rPr>
      </w:pPr>
    </w:p>
    <w:p>
      <w:pPr>
        <w:pStyle w:val="4"/>
        <w:spacing w:line="600" w:lineRule="exact"/>
        <w:rPr>
          <w:rFonts w:ascii="Times New Roman" w:hAnsi="Times New Roman"/>
          <w:kern w:val="0"/>
          <w:sz w:val="22"/>
          <w:szCs w:val="24"/>
        </w:rPr>
      </w:pPr>
      <w:r>
        <w:rPr>
          <w:rFonts w:ascii="Times New Roman" w:hAnsi="Times New Roman"/>
          <w:kern w:val="0"/>
          <w:sz w:val="22"/>
          <w:szCs w:val="24"/>
        </w:rPr>
        <w:t>填表人：</w:t>
      </w:r>
      <w:r>
        <w:rPr>
          <w:rFonts w:hint="eastAsia" w:ascii="Times New Roman" w:hAnsi="Times New Roman"/>
          <w:kern w:val="0"/>
          <w:sz w:val="22"/>
          <w:szCs w:val="24"/>
        </w:rPr>
        <w:t>方亚龙</w:t>
      </w:r>
      <w:r>
        <w:rPr>
          <w:rFonts w:ascii="Times New Roman" w:hAnsi="Times New Roman"/>
          <w:kern w:val="0"/>
          <w:sz w:val="22"/>
          <w:szCs w:val="24"/>
        </w:rPr>
        <w:t xml:space="preserve">  填报日期：</w:t>
      </w:r>
      <w:r>
        <w:rPr>
          <w:rFonts w:hint="eastAsia" w:ascii="Times New Roman" w:hAnsi="Times New Roman"/>
          <w:kern w:val="0"/>
          <w:sz w:val="22"/>
          <w:szCs w:val="24"/>
        </w:rPr>
        <w:t xml:space="preserve">2025.4.22 </w:t>
      </w:r>
      <w:r>
        <w:rPr>
          <w:rFonts w:ascii="Times New Roman" w:hAnsi="Times New Roman"/>
          <w:kern w:val="0"/>
          <w:sz w:val="22"/>
          <w:szCs w:val="24"/>
        </w:rPr>
        <w:t xml:space="preserve"> 联系电话：</w:t>
      </w:r>
      <w:r>
        <w:rPr>
          <w:rFonts w:hint="eastAsia" w:ascii="Times New Roman" w:hAnsi="Times New Roman"/>
          <w:kern w:val="0"/>
          <w:sz w:val="22"/>
          <w:szCs w:val="24"/>
        </w:rPr>
        <w:t xml:space="preserve">17363769278 </w:t>
      </w:r>
      <w:r>
        <w:rPr>
          <w:rFonts w:ascii="Times New Roman" w:hAnsi="Times New Roman"/>
          <w:kern w:val="0"/>
          <w:sz w:val="22"/>
          <w:szCs w:val="24"/>
        </w:rPr>
        <w:t xml:space="preserve"> 单位负责人签字：</w:t>
      </w:r>
    </w:p>
    <w:p>
      <w:pPr>
        <w:pStyle w:val="4"/>
        <w:spacing w:line="600" w:lineRule="exact"/>
        <w:rPr>
          <w:rFonts w:ascii="Times New Roman" w:hAnsi="Times New Roman" w:eastAsia="黑体"/>
          <w:kern w:val="0"/>
          <w:sz w:val="22"/>
          <w:szCs w:val="24"/>
        </w:rPr>
      </w:pPr>
      <w:r>
        <w:rPr>
          <w:rFonts w:ascii="Times New Roman" w:hAnsi="Times New Roman" w:eastAsia="黑体"/>
          <w:szCs w:val="32"/>
        </w:rPr>
        <w:t>附件</w:t>
      </w:r>
      <w:r>
        <w:rPr>
          <w:rFonts w:hint="eastAsia" w:ascii="Times New Roman" w:hAnsi="Times New Roman" w:eastAsia="黑体"/>
          <w:szCs w:val="32"/>
        </w:rPr>
        <w:t>3</w:t>
      </w: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4</w:t>
      </w:r>
      <w:r>
        <w:rPr>
          <w:rFonts w:ascii="Times New Roman" w:hAnsi="Times New Roman" w:eastAsia="方正小标宋_GBK"/>
          <w:color w:val="000000"/>
          <w:kern w:val="0"/>
          <w:sz w:val="36"/>
          <w:szCs w:val="36"/>
        </w:rPr>
        <w:t>年度项目支出绩效自评表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04"/>
        <w:gridCol w:w="69"/>
        <w:gridCol w:w="1134"/>
        <w:gridCol w:w="1266"/>
        <w:gridCol w:w="931"/>
        <w:gridCol w:w="965"/>
        <w:gridCol w:w="810"/>
        <w:gridCol w:w="90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33" w:type="pct"/>
            <w:gridSpan w:val="2"/>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项目支出名称</w:t>
            </w:r>
          </w:p>
        </w:tc>
        <w:tc>
          <w:tcPr>
            <w:tcW w:w="3966" w:type="pct"/>
            <w:gridSpan w:val="8"/>
            <w:vAlign w:val="center"/>
          </w:tcPr>
          <w:p>
            <w:pPr>
              <w:widowControl/>
              <w:jc w:val="center"/>
              <w:rPr>
                <w:color w:val="000000"/>
                <w:kern w:val="0"/>
                <w:sz w:val="21"/>
                <w:szCs w:val="21"/>
              </w:rPr>
            </w:pPr>
            <w:r>
              <w:rPr>
                <w:rFonts w:hint="eastAsia"/>
                <w:color w:val="000000"/>
                <w:kern w:val="0"/>
                <w:sz w:val="21"/>
                <w:szCs w:val="21"/>
              </w:rPr>
              <w:t>青少年事业发展专项经费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widowControl/>
              <w:jc w:val="left"/>
              <w:rPr>
                <w:color w:val="000000"/>
                <w:kern w:val="0"/>
                <w:sz w:val="21"/>
                <w:szCs w:val="21"/>
              </w:rPr>
            </w:pPr>
            <w:r>
              <w:rPr>
                <w:color w:val="000000"/>
                <w:kern w:val="0"/>
                <w:sz w:val="21"/>
                <w:szCs w:val="21"/>
              </w:rPr>
              <w:t>主管部门</w:t>
            </w:r>
          </w:p>
        </w:tc>
        <w:tc>
          <w:tcPr>
            <w:tcW w:w="2321" w:type="pct"/>
            <w:gridSpan w:val="5"/>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共青团益阳市委</w:t>
            </w:r>
          </w:p>
        </w:tc>
        <w:tc>
          <w:tcPr>
            <w:tcW w:w="532" w:type="pct"/>
            <w:vAlign w:val="center"/>
          </w:tcPr>
          <w:p>
            <w:pPr>
              <w:widowControl/>
              <w:jc w:val="center"/>
              <w:rPr>
                <w:color w:val="000000"/>
                <w:kern w:val="0"/>
                <w:sz w:val="21"/>
                <w:szCs w:val="21"/>
              </w:rPr>
            </w:pPr>
            <w:r>
              <w:rPr>
                <w:color w:val="000000"/>
                <w:kern w:val="0"/>
                <w:sz w:val="21"/>
                <w:szCs w:val="21"/>
              </w:rPr>
              <w:t>实施单位</w:t>
            </w:r>
          </w:p>
        </w:tc>
        <w:tc>
          <w:tcPr>
            <w:tcW w:w="1556" w:type="pct"/>
            <w:gridSpan w:val="3"/>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共青团益阳市委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项目资金</w:t>
            </w:r>
            <w:r>
              <w:rPr>
                <w:color w:val="000000"/>
                <w:kern w:val="0"/>
                <w:sz w:val="21"/>
                <w:szCs w:val="21"/>
              </w:rPr>
              <w:br w:type="textWrapping"/>
            </w:r>
            <w:r>
              <w:rPr>
                <w:color w:val="000000"/>
                <w:kern w:val="0"/>
                <w:sz w:val="21"/>
                <w:szCs w:val="21"/>
              </w:rPr>
              <w:t>（万元）</w:t>
            </w:r>
          </w:p>
        </w:tc>
        <w:tc>
          <w:tcPr>
            <w:tcW w:w="1108" w:type="pct"/>
            <w:gridSpan w:val="3"/>
            <w:vAlign w:val="center"/>
          </w:tcPr>
          <w:p>
            <w:pPr>
              <w:widowControl/>
              <w:jc w:val="left"/>
              <w:rPr>
                <w:color w:val="000000"/>
                <w:kern w:val="0"/>
                <w:sz w:val="21"/>
                <w:szCs w:val="21"/>
              </w:rPr>
            </w:pPr>
            <w:r>
              <w:rPr>
                <w:color w:val="000000"/>
                <w:kern w:val="0"/>
                <w:sz w:val="21"/>
                <w:szCs w:val="21"/>
              </w:rPr>
              <w:t>　</w:t>
            </w:r>
          </w:p>
        </w:tc>
        <w:tc>
          <w:tcPr>
            <w:tcW w:w="699" w:type="pct"/>
            <w:vAlign w:val="center"/>
          </w:tcPr>
          <w:p>
            <w:pPr>
              <w:widowControl/>
              <w:jc w:val="left"/>
              <w:rPr>
                <w:color w:val="000000"/>
                <w:kern w:val="0"/>
                <w:sz w:val="21"/>
                <w:szCs w:val="21"/>
              </w:rPr>
            </w:pPr>
            <w:r>
              <w:rPr>
                <w:rFonts w:hint="eastAsia"/>
                <w:color w:val="000000"/>
                <w:kern w:val="0"/>
                <w:sz w:val="21"/>
                <w:szCs w:val="21"/>
              </w:rPr>
              <w:t>年</w:t>
            </w:r>
            <w:r>
              <w:rPr>
                <w:color w:val="000000"/>
                <w:kern w:val="0"/>
                <w:sz w:val="21"/>
                <w:szCs w:val="21"/>
              </w:rPr>
              <w:t>初预算数</w:t>
            </w:r>
          </w:p>
        </w:tc>
        <w:tc>
          <w:tcPr>
            <w:tcW w:w="513" w:type="pct"/>
            <w:vAlign w:val="center"/>
          </w:tcPr>
          <w:p>
            <w:pPr>
              <w:widowControl/>
              <w:jc w:val="left"/>
              <w:rPr>
                <w:color w:val="000000"/>
                <w:kern w:val="0"/>
                <w:sz w:val="21"/>
                <w:szCs w:val="21"/>
              </w:rPr>
            </w:pPr>
            <w:r>
              <w:rPr>
                <w:color w:val="000000"/>
                <w:kern w:val="0"/>
                <w:sz w:val="21"/>
                <w:szCs w:val="21"/>
              </w:rPr>
              <w:t>全年预算数</w:t>
            </w:r>
          </w:p>
        </w:tc>
        <w:tc>
          <w:tcPr>
            <w:tcW w:w="532" w:type="pct"/>
            <w:vAlign w:val="center"/>
          </w:tcPr>
          <w:p>
            <w:pPr>
              <w:jc w:val="left"/>
              <w:rPr>
                <w:sz w:val="21"/>
                <w:szCs w:val="21"/>
              </w:rPr>
            </w:pPr>
            <w:r>
              <w:rPr>
                <w:sz w:val="21"/>
                <w:szCs w:val="21"/>
              </w:rPr>
              <w:t>全年</w:t>
            </w:r>
          </w:p>
          <w:p>
            <w:pPr>
              <w:jc w:val="left"/>
              <w:rPr>
                <w:sz w:val="21"/>
                <w:szCs w:val="21"/>
              </w:rPr>
            </w:pPr>
            <w:r>
              <w:rPr>
                <w:sz w:val="21"/>
                <w:szCs w:val="21"/>
              </w:rPr>
              <w:t>执行数</w:t>
            </w:r>
          </w:p>
        </w:tc>
        <w:tc>
          <w:tcPr>
            <w:tcW w:w="447" w:type="pct"/>
            <w:vAlign w:val="center"/>
          </w:tcPr>
          <w:p>
            <w:pPr>
              <w:jc w:val="left"/>
              <w:rPr>
                <w:sz w:val="21"/>
                <w:szCs w:val="21"/>
              </w:rPr>
            </w:pPr>
            <w:r>
              <w:rPr>
                <w:sz w:val="21"/>
                <w:szCs w:val="21"/>
              </w:rPr>
              <w:t>分值</w:t>
            </w:r>
          </w:p>
        </w:tc>
        <w:tc>
          <w:tcPr>
            <w:tcW w:w="498" w:type="pct"/>
            <w:vAlign w:val="center"/>
          </w:tcPr>
          <w:p>
            <w:pPr>
              <w:jc w:val="left"/>
              <w:rPr>
                <w:sz w:val="21"/>
                <w:szCs w:val="21"/>
              </w:rPr>
            </w:pPr>
            <w:r>
              <w:rPr>
                <w:sz w:val="21"/>
                <w:szCs w:val="21"/>
              </w:rPr>
              <w:t>执行率</w:t>
            </w:r>
          </w:p>
        </w:tc>
        <w:tc>
          <w:tcPr>
            <w:tcW w:w="611" w:type="pct"/>
            <w:vAlign w:val="center"/>
          </w:tcPr>
          <w:p>
            <w:pPr>
              <w:jc w:val="left"/>
              <w:rPr>
                <w:sz w:val="21"/>
                <w:szCs w:val="21"/>
              </w:rPr>
            </w:pPr>
            <w:r>
              <w:rPr>
                <w:rFonts w:hint="eastAsia"/>
                <w:sz w:val="21"/>
                <w:szCs w:val="21"/>
              </w:rPr>
              <w:t>自评</w:t>
            </w:r>
            <w:r>
              <w:rPr>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年度资金总额　</w:t>
            </w:r>
          </w:p>
        </w:tc>
        <w:tc>
          <w:tcPr>
            <w:tcW w:w="699" w:type="pct"/>
            <w:vAlign w:val="center"/>
          </w:tcPr>
          <w:p>
            <w:pPr>
              <w:widowControl/>
              <w:jc w:val="left"/>
              <w:rPr>
                <w:color w:val="000000"/>
                <w:kern w:val="0"/>
                <w:sz w:val="21"/>
                <w:szCs w:val="21"/>
              </w:rPr>
            </w:pPr>
          </w:p>
        </w:tc>
        <w:tc>
          <w:tcPr>
            <w:tcW w:w="513" w:type="pct"/>
            <w:vAlign w:val="center"/>
          </w:tcPr>
          <w:p>
            <w:pPr>
              <w:widowControl/>
              <w:jc w:val="center"/>
              <w:rPr>
                <w:color w:val="000000"/>
                <w:kern w:val="0"/>
                <w:sz w:val="21"/>
                <w:szCs w:val="21"/>
              </w:rPr>
            </w:pPr>
            <w:r>
              <w:rPr>
                <w:rFonts w:hint="eastAsia"/>
                <w:color w:val="000000"/>
                <w:kern w:val="0"/>
                <w:sz w:val="21"/>
                <w:szCs w:val="21"/>
              </w:rPr>
              <w:t>47.2</w:t>
            </w:r>
          </w:p>
        </w:tc>
        <w:tc>
          <w:tcPr>
            <w:tcW w:w="532" w:type="pct"/>
            <w:vAlign w:val="center"/>
          </w:tcPr>
          <w:p>
            <w:pPr>
              <w:widowControl/>
              <w:jc w:val="center"/>
              <w:rPr>
                <w:color w:val="000000"/>
                <w:kern w:val="0"/>
                <w:sz w:val="21"/>
                <w:szCs w:val="21"/>
              </w:rPr>
            </w:pPr>
            <w:r>
              <w:rPr>
                <w:rFonts w:hint="eastAsia"/>
                <w:color w:val="000000"/>
                <w:kern w:val="0"/>
                <w:sz w:val="21"/>
                <w:szCs w:val="21"/>
              </w:rPr>
              <w:t>47.2</w:t>
            </w:r>
          </w:p>
        </w:tc>
        <w:tc>
          <w:tcPr>
            <w:tcW w:w="447" w:type="pct"/>
            <w:vAlign w:val="center"/>
          </w:tcPr>
          <w:p>
            <w:pPr>
              <w:widowControl/>
              <w:jc w:val="center"/>
              <w:rPr>
                <w:color w:val="000000"/>
                <w:kern w:val="0"/>
                <w:sz w:val="21"/>
                <w:szCs w:val="21"/>
              </w:rPr>
            </w:pPr>
            <w:r>
              <w:rPr>
                <w:color w:val="000000"/>
                <w:kern w:val="0"/>
                <w:sz w:val="21"/>
                <w:szCs w:val="21"/>
              </w:rPr>
              <w:t>10</w:t>
            </w:r>
          </w:p>
        </w:tc>
        <w:tc>
          <w:tcPr>
            <w:tcW w:w="498" w:type="pct"/>
            <w:vAlign w:val="center"/>
          </w:tcPr>
          <w:p>
            <w:pPr>
              <w:widowControl/>
              <w:jc w:val="center"/>
              <w:rPr>
                <w:color w:val="000000"/>
                <w:kern w:val="0"/>
                <w:sz w:val="21"/>
                <w:szCs w:val="21"/>
              </w:rPr>
            </w:pPr>
            <w:r>
              <w:rPr>
                <w:rFonts w:hint="eastAsia"/>
                <w:color w:val="000000"/>
                <w:kern w:val="0"/>
                <w:sz w:val="21"/>
                <w:szCs w:val="21"/>
              </w:rPr>
              <w:t>100%</w:t>
            </w:r>
          </w:p>
        </w:tc>
        <w:tc>
          <w:tcPr>
            <w:tcW w:w="611" w:type="pct"/>
            <w:vAlign w:val="center"/>
          </w:tcPr>
          <w:p>
            <w:pPr>
              <w:widowControl/>
              <w:jc w:val="center"/>
              <w:rPr>
                <w:color w:val="000000"/>
                <w:kern w:val="0"/>
                <w:sz w:val="21"/>
                <w:szCs w:val="21"/>
              </w:rPr>
            </w:pPr>
            <w:r>
              <w:rPr>
                <w:rFonts w:hint="eastAsia"/>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其中：当年财政拨款　</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rFonts w:hint="eastAsia"/>
                <w:color w:val="000000"/>
                <w:kern w:val="0"/>
                <w:sz w:val="21"/>
                <w:szCs w:val="21"/>
              </w:rPr>
              <w:t>47.2</w:t>
            </w:r>
          </w:p>
        </w:tc>
        <w:tc>
          <w:tcPr>
            <w:tcW w:w="532" w:type="pct"/>
            <w:vAlign w:val="center"/>
          </w:tcPr>
          <w:p>
            <w:pPr>
              <w:widowControl/>
              <w:jc w:val="left"/>
              <w:rPr>
                <w:color w:val="000000"/>
                <w:kern w:val="0"/>
                <w:sz w:val="21"/>
                <w:szCs w:val="21"/>
              </w:rPr>
            </w:pPr>
            <w:r>
              <w:rPr>
                <w:rFonts w:hint="eastAsia"/>
                <w:color w:val="000000"/>
                <w:kern w:val="0"/>
                <w:sz w:val="21"/>
                <w:szCs w:val="21"/>
              </w:rPr>
              <w:t>47.2</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上年结转资金　</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其他资金</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年度总体目标</w:t>
            </w:r>
          </w:p>
        </w:tc>
        <w:tc>
          <w:tcPr>
            <w:tcW w:w="2321" w:type="pct"/>
            <w:gridSpan w:val="5"/>
            <w:vAlign w:val="center"/>
          </w:tcPr>
          <w:p>
            <w:pPr>
              <w:widowControl/>
              <w:jc w:val="center"/>
              <w:rPr>
                <w:color w:val="000000"/>
                <w:kern w:val="0"/>
                <w:sz w:val="21"/>
                <w:szCs w:val="21"/>
              </w:rPr>
            </w:pPr>
            <w:r>
              <w:rPr>
                <w:color w:val="000000"/>
                <w:kern w:val="0"/>
                <w:sz w:val="21"/>
                <w:szCs w:val="21"/>
              </w:rPr>
              <w:t>预期目标</w:t>
            </w:r>
          </w:p>
        </w:tc>
        <w:tc>
          <w:tcPr>
            <w:tcW w:w="2089" w:type="pct"/>
            <w:gridSpan w:val="4"/>
            <w:vAlign w:val="center"/>
          </w:tcPr>
          <w:p>
            <w:pPr>
              <w:widowControl/>
              <w:jc w:val="center"/>
              <w:rPr>
                <w:color w:val="000000"/>
                <w:kern w:val="0"/>
                <w:sz w:val="21"/>
                <w:szCs w:val="21"/>
              </w:rPr>
            </w:pPr>
            <w:r>
              <w:rPr>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9" w:type="pct"/>
            <w:vMerge w:val="continue"/>
            <w:vAlign w:val="center"/>
          </w:tcPr>
          <w:p>
            <w:pPr>
              <w:widowControl/>
              <w:jc w:val="left"/>
              <w:rPr>
                <w:color w:val="000000"/>
                <w:kern w:val="0"/>
                <w:sz w:val="21"/>
                <w:szCs w:val="21"/>
              </w:rPr>
            </w:pPr>
          </w:p>
        </w:tc>
        <w:tc>
          <w:tcPr>
            <w:tcW w:w="2321" w:type="pct"/>
            <w:gridSpan w:val="5"/>
            <w:vAlign w:val="center"/>
          </w:tcPr>
          <w:p>
            <w:pPr>
              <w:widowControl/>
              <w:ind w:firstLine="220" w:firstLineChars="100"/>
              <w:rPr>
                <w:color w:val="000000"/>
                <w:kern w:val="0"/>
                <w:sz w:val="21"/>
                <w:szCs w:val="21"/>
              </w:rPr>
            </w:pPr>
            <w:r>
              <w:rPr>
                <w:rFonts w:hint="eastAsia" w:ascii="Times New Roman" w:hAnsi="Times New Roman"/>
                <w:color w:val="000000"/>
                <w:kern w:val="0"/>
                <w:sz w:val="22"/>
              </w:rPr>
              <w:t>常态化开展活动，认真做好业务工作，履行好组织青年、引导青年、服务青年、维护青少年合法权益，促进青少年健康成长、学习成才、活动交流，提高共青团基层组织的服务能力。</w:t>
            </w:r>
            <w:r>
              <w:rPr>
                <w:color w:val="000000"/>
                <w:kern w:val="0"/>
                <w:sz w:val="21"/>
                <w:szCs w:val="21"/>
              </w:rPr>
              <w:t>　　</w:t>
            </w:r>
          </w:p>
        </w:tc>
        <w:tc>
          <w:tcPr>
            <w:tcW w:w="2089" w:type="pct"/>
            <w:gridSpan w:val="4"/>
            <w:vAlign w:val="center"/>
          </w:tcPr>
          <w:p>
            <w:pPr>
              <w:widowControl/>
              <w:ind w:firstLine="210" w:firstLineChars="100"/>
              <w:jc w:val="left"/>
              <w:rPr>
                <w:color w:val="000000"/>
                <w:kern w:val="0"/>
                <w:sz w:val="21"/>
                <w:szCs w:val="21"/>
              </w:rPr>
            </w:pPr>
            <w:r>
              <w:rPr>
                <w:rFonts w:hint="eastAsia"/>
                <w:color w:val="000000"/>
                <w:kern w:val="0"/>
                <w:sz w:val="21"/>
                <w:szCs w:val="21"/>
              </w:rPr>
              <w:t>加强思想引领，常态化开展党的二十大精神宣讲、“七彩假期”系列活动、关爱青少年身心健康、青年创新创业及交友联谊等活动，开展学雷锋、创文、护河、暑期助学等志愿服务</w:t>
            </w:r>
            <w:r>
              <w:rPr>
                <w:rFonts w:hint="eastAsia" w:ascii="Times New Roman" w:hAnsi="仿宋_GB2312"/>
                <w:sz w:val="21"/>
                <w:szCs w:val="21"/>
              </w:rPr>
              <w:t>深化基层团组织改革，全面推进县域共青团改革</w:t>
            </w:r>
            <w:r>
              <w:rPr>
                <w:rFonts w:hint="eastAsia"/>
                <w:color w:val="000000"/>
                <w:kern w:val="0"/>
                <w:sz w:val="21"/>
                <w:szCs w:val="21"/>
              </w:rPr>
              <w:t>，推进青年交融交往，护航青少年健康成长。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绩</w:t>
            </w:r>
          </w:p>
          <w:p>
            <w:pPr>
              <w:widowControl/>
              <w:jc w:val="center"/>
              <w:rPr>
                <w:color w:val="000000"/>
                <w:kern w:val="0"/>
                <w:sz w:val="21"/>
                <w:szCs w:val="21"/>
              </w:rPr>
            </w:pPr>
            <w:r>
              <w:rPr>
                <w:color w:val="000000"/>
                <w:kern w:val="0"/>
                <w:sz w:val="21"/>
                <w:szCs w:val="21"/>
              </w:rPr>
              <w:t>效</w:t>
            </w:r>
          </w:p>
          <w:p>
            <w:pPr>
              <w:widowControl/>
              <w:jc w:val="center"/>
              <w:rPr>
                <w:color w:val="000000"/>
                <w:kern w:val="0"/>
                <w:sz w:val="21"/>
                <w:szCs w:val="21"/>
              </w:rPr>
            </w:pPr>
            <w:r>
              <w:rPr>
                <w:color w:val="000000"/>
                <w:kern w:val="0"/>
                <w:sz w:val="21"/>
                <w:szCs w:val="21"/>
              </w:rPr>
              <w:t>指</w:t>
            </w:r>
          </w:p>
          <w:p>
            <w:pPr>
              <w:widowControl/>
              <w:jc w:val="center"/>
              <w:rPr>
                <w:color w:val="000000"/>
                <w:kern w:val="0"/>
                <w:sz w:val="21"/>
                <w:szCs w:val="21"/>
              </w:rPr>
            </w:pPr>
            <w:r>
              <w:rPr>
                <w:color w:val="000000"/>
                <w:kern w:val="0"/>
                <w:sz w:val="21"/>
                <w:szCs w:val="21"/>
              </w:rPr>
              <w:t>标</w:t>
            </w:r>
          </w:p>
        </w:tc>
        <w:tc>
          <w:tcPr>
            <w:tcW w:w="482" w:type="pct"/>
            <w:gridSpan w:val="2"/>
            <w:vAlign w:val="center"/>
          </w:tcPr>
          <w:p>
            <w:pPr>
              <w:widowControl/>
              <w:spacing w:line="240" w:lineRule="exact"/>
              <w:jc w:val="center"/>
              <w:rPr>
                <w:color w:val="000000"/>
                <w:kern w:val="0"/>
                <w:sz w:val="21"/>
                <w:szCs w:val="21"/>
              </w:rPr>
            </w:pPr>
            <w:r>
              <w:rPr>
                <w:color w:val="000000"/>
                <w:kern w:val="0"/>
                <w:sz w:val="21"/>
                <w:szCs w:val="21"/>
              </w:rPr>
              <w:t>一级指标</w:t>
            </w:r>
          </w:p>
        </w:tc>
        <w:tc>
          <w:tcPr>
            <w:tcW w:w="626" w:type="pct"/>
            <w:vAlign w:val="center"/>
          </w:tcPr>
          <w:p>
            <w:pPr>
              <w:widowControl/>
              <w:spacing w:line="240" w:lineRule="exact"/>
              <w:jc w:val="center"/>
              <w:rPr>
                <w:color w:val="000000"/>
                <w:kern w:val="0"/>
                <w:sz w:val="21"/>
                <w:szCs w:val="21"/>
              </w:rPr>
            </w:pPr>
            <w:r>
              <w:rPr>
                <w:color w:val="000000"/>
                <w:kern w:val="0"/>
                <w:sz w:val="21"/>
                <w:szCs w:val="21"/>
              </w:rPr>
              <w:t>二级指标</w:t>
            </w:r>
          </w:p>
        </w:tc>
        <w:tc>
          <w:tcPr>
            <w:tcW w:w="699" w:type="pct"/>
            <w:vAlign w:val="center"/>
          </w:tcPr>
          <w:p>
            <w:pPr>
              <w:widowControl/>
              <w:spacing w:line="240" w:lineRule="exact"/>
              <w:jc w:val="center"/>
              <w:rPr>
                <w:color w:val="000000"/>
                <w:kern w:val="0"/>
                <w:sz w:val="21"/>
                <w:szCs w:val="21"/>
              </w:rPr>
            </w:pPr>
            <w:r>
              <w:rPr>
                <w:color w:val="000000"/>
                <w:kern w:val="0"/>
                <w:sz w:val="21"/>
                <w:szCs w:val="21"/>
              </w:rPr>
              <w:t>三级指标</w:t>
            </w:r>
          </w:p>
        </w:tc>
        <w:tc>
          <w:tcPr>
            <w:tcW w:w="513" w:type="pct"/>
            <w:vAlign w:val="center"/>
          </w:tcPr>
          <w:p>
            <w:pPr>
              <w:widowControl/>
              <w:spacing w:line="240" w:lineRule="exact"/>
              <w:jc w:val="center"/>
              <w:rPr>
                <w:color w:val="000000"/>
                <w:kern w:val="0"/>
                <w:sz w:val="21"/>
                <w:szCs w:val="21"/>
              </w:rPr>
            </w:pPr>
            <w:r>
              <w:rPr>
                <w:color w:val="000000"/>
                <w:kern w:val="0"/>
                <w:sz w:val="21"/>
                <w:szCs w:val="21"/>
              </w:rPr>
              <w:t>年度</w:t>
            </w:r>
          </w:p>
          <w:p>
            <w:pPr>
              <w:widowControl/>
              <w:spacing w:line="240" w:lineRule="exact"/>
              <w:jc w:val="center"/>
              <w:rPr>
                <w:color w:val="000000"/>
                <w:kern w:val="0"/>
                <w:sz w:val="21"/>
                <w:szCs w:val="21"/>
              </w:rPr>
            </w:pPr>
            <w:r>
              <w:rPr>
                <w:color w:val="000000"/>
                <w:kern w:val="0"/>
                <w:sz w:val="21"/>
                <w:szCs w:val="21"/>
              </w:rPr>
              <w:t>指标值</w:t>
            </w:r>
          </w:p>
        </w:tc>
        <w:tc>
          <w:tcPr>
            <w:tcW w:w="532" w:type="pct"/>
            <w:vAlign w:val="center"/>
          </w:tcPr>
          <w:p>
            <w:pPr>
              <w:widowControl/>
              <w:spacing w:line="240" w:lineRule="exact"/>
              <w:jc w:val="center"/>
              <w:rPr>
                <w:color w:val="000000"/>
                <w:kern w:val="0"/>
                <w:sz w:val="21"/>
                <w:szCs w:val="21"/>
              </w:rPr>
            </w:pPr>
            <w:r>
              <w:rPr>
                <w:color w:val="000000"/>
                <w:kern w:val="0"/>
                <w:sz w:val="21"/>
                <w:szCs w:val="21"/>
              </w:rPr>
              <w:t>实际</w:t>
            </w:r>
          </w:p>
          <w:p>
            <w:pPr>
              <w:widowControl/>
              <w:spacing w:line="240" w:lineRule="exact"/>
              <w:jc w:val="center"/>
              <w:rPr>
                <w:color w:val="000000"/>
                <w:kern w:val="0"/>
                <w:sz w:val="21"/>
                <w:szCs w:val="21"/>
              </w:rPr>
            </w:pPr>
            <w:r>
              <w:rPr>
                <w:color w:val="000000"/>
                <w:kern w:val="0"/>
                <w:sz w:val="21"/>
                <w:szCs w:val="21"/>
              </w:rPr>
              <w:t>完成值</w:t>
            </w:r>
          </w:p>
        </w:tc>
        <w:tc>
          <w:tcPr>
            <w:tcW w:w="447" w:type="pct"/>
            <w:vAlign w:val="center"/>
          </w:tcPr>
          <w:p>
            <w:pPr>
              <w:widowControl/>
              <w:spacing w:line="240" w:lineRule="exact"/>
              <w:jc w:val="center"/>
              <w:rPr>
                <w:color w:val="000000"/>
                <w:kern w:val="0"/>
                <w:sz w:val="21"/>
                <w:szCs w:val="21"/>
              </w:rPr>
            </w:pPr>
            <w:r>
              <w:rPr>
                <w:color w:val="000000"/>
                <w:kern w:val="0"/>
                <w:sz w:val="21"/>
                <w:szCs w:val="21"/>
              </w:rPr>
              <w:t>分值</w:t>
            </w:r>
          </w:p>
        </w:tc>
        <w:tc>
          <w:tcPr>
            <w:tcW w:w="498" w:type="pct"/>
            <w:vAlign w:val="center"/>
          </w:tcPr>
          <w:p>
            <w:pPr>
              <w:widowControl/>
              <w:spacing w:line="240" w:lineRule="exact"/>
              <w:jc w:val="center"/>
              <w:rPr>
                <w:color w:val="000000"/>
                <w:kern w:val="0"/>
                <w:sz w:val="21"/>
                <w:szCs w:val="21"/>
              </w:rPr>
            </w:pPr>
            <w:r>
              <w:rPr>
                <w:rFonts w:hint="eastAsia"/>
                <w:color w:val="000000"/>
                <w:kern w:val="0"/>
                <w:sz w:val="21"/>
                <w:szCs w:val="21"/>
              </w:rPr>
              <w:t>自评</w:t>
            </w:r>
            <w:r>
              <w:rPr>
                <w:color w:val="000000"/>
                <w:kern w:val="0"/>
                <w:sz w:val="21"/>
                <w:szCs w:val="21"/>
              </w:rPr>
              <w:t>得分</w:t>
            </w:r>
          </w:p>
        </w:tc>
        <w:tc>
          <w:tcPr>
            <w:tcW w:w="611" w:type="pct"/>
            <w:vAlign w:val="center"/>
          </w:tcPr>
          <w:p>
            <w:pPr>
              <w:widowControl/>
              <w:spacing w:line="240" w:lineRule="exact"/>
              <w:jc w:val="left"/>
              <w:rPr>
                <w:color w:val="000000"/>
                <w:kern w:val="0"/>
                <w:sz w:val="21"/>
                <w:szCs w:val="21"/>
              </w:rPr>
            </w:pPr>
            <w:r>
              <w:rPr>
                <w:color w:val="000000"/>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89" w:type="pct"/>
            <w:vMerge w:val="continue"/>
            <w:vAlign w:val="center"/>
          </w:tcPr>
          <w:p>
            <w:pPr>
              <w:jc w:val="left"/>
              <w:rPr>
                <w:color w:val="000000"/>
                <w:kern w:val="0"/>
                <w:sz w:val="21"/>
                <w:szCs w:val="21"/>
              </w:rPr>
            </w:pPr>
          </w:p>
        </w:tc>
        <w:tc>
          <w:tcPr>
            <w:tcW w:w="482" w:type="pct"/>
            <w:gridSpan w:val="2"/>
            <w:vMerge w:val="restart"/>
            <w:vAlign w:val="center"/>
          </w:tcPr>
          <w:p>
            <w:pPr>
              <w:widowControl/>
              <w:jc w:val="center"/>
              <w:rPr>
                <w:color w:val="000000"/>
                <w:kern w:val="0"/>
                <w:sz w:val="21"/>
                <w:szCs w:val="21"/>
              </w:rPr>
            </w:pPr>
            <w:r>
              <w:rPr>
                <w:color w:val="000000"/>
                <w:kern w:val="0"/>
                <w:sz w:val="21"/>
                <w:szCs w:val="21"/>
              </w:rPr>
              <w:t>产出指标(50分)</w:t>
            </w:r>
          </w:p>
        </w:tc>
        <w:tc>
          <w:tcPr>
            <w:tcW w:w="626" w:type="pct"/>
            <w:vMerge w:val="restart"/>
            <w:vAlign w:val="center"/>
          </w:tcPr>
          <w:p>
            <w:pPr>
              <w:widowControl/>
              <w:jc w:val="center"/>
              <w:rPr>
                <w:color w:val="000000"/>
                <w:kern w:val="0"/>
                <w:sz w:val="21"/>
                <w:szCs w:val="21"/>
              </w:rPr>
            </w:pPr>
            <w:r>
              <w:rPr>
                <w:color w:val="000000"/>
                <w:kern w:val="0"/>
                <w:sz w:val="21"/>
                <w:szCs w:val="21"/>
              </w:rPr>
              <w:t>数量指标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在全市青少年中开展学习雷锋、缅怀先烈等系列活动</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≧2次</w:t>
            </w:r>
          </w:p>
        </w:tc>
        <w:tc>
          <w:tcPr>
            <w:tcW w:w="532" w:type="pct"/>
            <w:vAlign w:val="center"/>
          </w:tcPr>
          <w:p>
            <w:pPr>
              <w:widowControl/>
              <w:ind w:firstLine="210" w:firstLineChars="100"/>
              <w:jc w:val="left"/>
              <w:rPr>
                <w:color w:val="000000"/>
                <w:kern w:val="0"/>
                <w:sz w:val="21"/>
                <w:szCs w:val="21"/>
              </w:rPr>
            </w:pPr>
            <w:r>
              <w:rPr>
                <w:rFonts w:hint="eastAsia"/>
                <w:color w:val="000000"/>
                <w:kern w:val="0"/>
                <w:sz w:val="21"/>
                <w:szCs w:val="21"/>
              </w:rPr>
              <w:t>4次</w:t>
            </w:r>
          </w:p>
        </w:tc>
        <w:tc>
          <w:tcPr>
            <w:tcW w:w="447" w:type="pct"/>
            <w:vAlign w:val="center"/>
          </w:tcPr>
          <w:p>
            <w:pPr>
              <w:widowControl/>
              <w:jc w:val="left"/>
              <w:rPr>
                <w:color w:val="000000"/>
                <w:kern w:val="0"/>
                <w:sz w:val="21"/>
                <w:szCs w:val="21"/>
              </w:rPr>
            </w:pPr>
            <w:r>
              <w:rPr>
                <w:rFonts w:hint="eastAsia"/>
                <w:color w:val="000000"/>
                <w:kern w:val="0"/>
                <w:sz w:val="21"/>
                <w:szCs w:val="21"/>
              </w:rPr>
              <w:t>10分</w:t>
            </w:r>
          </w:p>
        </w:tc>
        <w:tc>
          <w:tcPr>
            <w:tcW w:w="498" w:type="pct"/>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continue"/>
            <w:vAlign w:val="center"/>
          </w:tcPr>
          <w:p>
            <w:pPr>
              <w:widowControl/>
              <w:jc w:val="center"/>
              <w:rPr>
                <w:color w:val="000000"/>
                <w:kern w:val="0"/>
                <w:sz w:val="21"/>
                <w:szCs w:val="21"/>
              </w:rPr>
            </w:pP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在“益阳共青团”官方微信、微博发布文章</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≧150篇</w:t>
            </w:r>
          </w:p>
        </w:tc>
        <w:tc>
          <w:tcPr>
            <w:tcW w:w="532" w:type="pct"/>
            <w:vAlign w:val="center"/>
          </w:tcPr>
          <w:p>
            <w:pPr>
              <w:widowControl/>
              <w:jc w:val="left"/>
              <w:rPr>
                <w:color w:val="000000"/>
                <w:kern w:val="0"/>
                <w:sz w:val="21"/>
                <w:szCs w:val="21"/>
              </w:rPr>
            </w:pPr>
            <w:r>
              <w:rPr>
                <w:rFonts w:hint="eastAsia"/>
                <w:color w:val="000000"/>
                <w:kern w:val="0"/>
                <w:sz w:val="21"/>
                <w:szCs w:val="21"/>
              </w:rPr>
              <w:t>326篇</w:t>
            </w:r>
          </w:p>
        </w:tc>
        <w:tc>
          <w:tcPr>
            <w:tcW w:w="447" w:type="pct"/>
            <w:vAlign w:val="center"/>
          </w:tcPr>
          <w:p>
            <w:pPr>
              <w:widowControl/>
              <w:jc w:val="left"/>
              <w:rPr>
                <w:color w:val="000000"/>
                <w:kern w:val="0"/>
                <w:sz w:val="21"/>
                <w:szCs w:val="21"/>
              </w:rPr>
            </w:pPr>
            <w:r>
              <w:rPr>
                <w:rFonts w:hint="eastAsia"/>
                <w:color w:val="000000"/>
                <w:kern w:val="0"/>
                <w:sz w:val="21"/>
                <w:szCs w:val="21"/>
              </w:rPr>
              <w:t>15分</w:t>
            </w:r>
          </w:p>
        </w:tc>
        <w:tc>
          <w:tcPr>
            <w:tcW w:w="498" w:type="pct"/>
            <w:vAlign w:val="center"/>
          </w:tcPr>
          <w:p>
            <w:pPr>
              <w:widowControl/>
              <w:jc w:val="left"/>
              <w:rPr>
                <w:color w:val="000000"/>
                <w:kern w:val="0"/>
                <w:sz w:val="21"/>
                <w:szCs w:val="21"/>
              </w:rPr>
            </w:pPr>
            <w:r>
              <w:rPr>
                <w:rFonts w:hint="eastAsia"/>
                <w:color w:val="000000"/>
                <w:kern w:val="0"/>
                <w:sz w:val="21"/>
                <w:szCs w:val="21"/>
              </w:rPr>
              <w:t>15分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质量指标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完成思想教育、志愿服务等活动</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100%</w:t>
            </w: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447" w:type="pct"/>
            <w:vAlign w:val="center"/>
          </w:tcPr>
          <w:p>
            <w:pPr>
              <w:widowControl/>
              <w:jc w:val="left"/>
              <w:rPr>
                <w:color w:val="000000"/>
                <w:kern w:val="0"/>
                <w:sz w:val="21"/>
                <w:szCs w:val="21"/>
              </w:rPr>
            </w:pPr>
            <w:r>
              <w:rPr>
                <w:rFonts w:hint="eastAsia"/>
                <w:color w:val="000000"/>
                <w:kern w:val="0"/>
                <w:sz w:val="21"/>
                <w:szCs w:val="21"/>
              </w:rPr>
              <w:t>15分</w:t>
            </w:r>
          </w:p>
        </w:tc>
        <w:tc>
          <w:tcPr>
            <w:tcW w:w="498" w:type="pct"/>
            <w:vAlign w:val="center"/>
          </w:tcPr>
          <w:p>
            <w:pPr>
              <w:widowControl/>
              <w:jc w:val="left"/>
              <w:rPr>
                <w:color w:val="000000"/>
                <w:kern w:val="0"/>
                <w:sz w:val="21"/>
                <w:szCs w:val="21"/>
              </w:rPr>
            </w:pPr>
            <w:r>
              <w:rPr>
                <w:rFonts w:hint="eastAsia"/>
                <w:color w:val="000000"/>
                <w:kern w:val="0"/>
                <w:sz w:val="21"/>
                <w:szCs w:val="21"/>
              </w:rPr>
              <w:t>15分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时效指标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成本指标</w:t>
            </w:r>
          </w:p>
        </w:tc>
        <w:tc>
          <w:tcPr>
            <w:tcW w:w="699" w:type="pct"/>
            <w:vAlign w:val="center"/>
          </w:tcPr>
          <w:p>
            <w:pPr>
              <w:widowControl/>
              <w:spacing w:line="240" w:lineRule="exact"/>
              <w:jc w:val="left"/>
              <w:rPr>
                <w:color w:val="000000"/>
                <w:kern w:val="0"/>
                <w:sz w:val="21"/>
                <w:szCs w:val="21"/>
              </w:rPr>
            </w:pPr>
            <w:r>
              <w:rPr>
                <w:rFonts w:hint="eastAsia"/>
                <w:color w:val="000000"/>
                <w:kern w:val="0"/>
                <w:sz w:val="21"/>
                <w:szCs w:val="21"/>
              </w:rPr>
              <w:t>控制在预算内</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≦94.4万</w:t>
            </w:r>
          </w:p>
        </w:tc>
        <w:tc>
          <w:tcPr>
            <w:tcW w:w="532" w:type="pct"/>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94.4万</w:t>
            </w:r>
          </w:p>
        </w:tc>
        <w:tc>
          <w:tcPr>
            <w:tcW w:w="447" w:type="pct"/>
            <w:vAlign w:val="center"/>
          </w:tcPr>
          <w:p>
            <w:pPr>
              <w:widowControl/>
              <w:jc w:val="left"/>
              <w:rPr>
                <w:color w:val="000000"/>
                <w:kern w:val="0"/>
                <w:sz w:val="21"/>
                <w:szCs w:val="21"/>
              </w:rPr>
            </w:pPr>
            <w:r>
              <w:rPr>
                <w:rFonts w:hint="eastAsia"/>
                <w:color w:val="000000"/>
                <w:kern w:val="0"/>
                <w:sz w:val="21"/>
                <w:szCs w:val="21"/>
              </w:rPr>
              <w:t>10分</w:t>
            </w:r>
          </w:p>
        </w:tc>
        <w:tc>
          <w:tcPr>
            <w:tcW w:w="498" w:type="pct"/>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jc w:val="left"/>
              <w:rPr>
                <w:color w:val="000000"/>
                <w:kern w:val="0"/>
                <w:sz w:val="21"/>
                <w:szCs w:val="21"/>
              </w:rPr>
            </w:pPr>
          </w:p>
        </w:tc>
        <w:tc>
          <w:tcPr>
            <w:tcW w:w="482" w:type="pct"/>
            <w:gridSpan w:val="2"/>
            <w:vMerge w:val="restart"/>
            <w:vAlign w:val="center"/>
          </w:tcPr>
          <w:p>
            <w:pPr>
              <w:widowControl/>
              <w:jc w:val="left"/>
              <w:rPr>
                <w:color w:val="000000"/>
                <w:kern w:val="0"/>
                <w:sz w:val="21"/>
                <w:szCs w:val="21"/>
              </w:rPr>
            </w:pPr>
            <w:r>
              <w:rPr>
                <w:color w:val="000000"/>
                <w:kern w:val="0"/>
                <w:sz w:val="21"/>
                <w:szCs w:val="21"/>
              </w:rPr>
              <w:t>效益指标（30分）</w:t>
            </w:r>
          </w:p>
        </w:tc>
        <w:tc>
          <w:tcPr>
            <w:tcW w:w="626" w:type="pct"/>
            <w:vAlign w:val="center"/>
          </w:tcPr>
          <w:p>
            <w:pPr>
              <w:widowControl/>
              <w:jc w:val="center"/>
              <w:rPr>
                <w:color w:val="000000"/>
                <w:kern w:val="0"/>
                <w:sz w:val="21"/>
                <w:szCs w:val="21"/>
              </w:rPr>
            </w:pPr>
            <w:r>
              <w:rPr>
                <w:color w:val="000000"/>
                <w:kern w:val="0"/>
                <w:sz w:val="21"/>
                <w:szCs w:val="21"/>
              </w:rPr>
              <w:t>经济效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restart"/>
            <w:vAlign w:val="center"/>
          </w:tcPr>
          <w:p>
            <w:pPr>
              <w:widowControl/>
              <w:jc w:val="center"/>
              <w:rPr>
                <w:color w:val="000000"/>
                <w:kern w:val="0"/>
                <w:sz w:val="21"/>
                <w:szCs w:val="21"/>
              </w:rPr>
            </w:pPr>
            <w:r>
              <w:rPr>
                <w:color w:val="000000"/>
                <w:kern w:val="0"/>
                <w:sz w:val="21"/>
                <w:szCs w:val="21"/>
              </w:rPr>
              <w:t>社会效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强化青少年思想政治引领</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color w:val="000000"/>
                <w:kern w:val="0"/>
                <w:sz w:val="21"/>
                <w:szCs w:val="21"/>
              </w:rPr>
              <w:t>100%</w:t>
            </w:r>
          </w:p>
        </w:tc>
        <w:tc>
          <w:tcPr>
            <w:tcW w:w="810" w:type="dxa"/>
            <w:vAlign w:val="center"/>
          </w:tcPr>
          <w:p>
            <w:pPr>
              <w:widowControl/>
              <w:jc w:val="left"/>
              <w:rPr>
                <w:color w:val="000000"/>
                <w:kern w:val="0"/>
                <w:sz w:val="21"/>
                <w:szCs w:val="21"/>
              </w:rPr>
            </w:pPr>
            <w:r>
              <w:rPr>
                <w:rFonts w:hint="eastAsia"/>
                <w:color w:val="000000"/>
                <w:kern w:val="0"/>
                <w:sz w:val="21"/>
                <w:szCs w:val="21"/>
              </w:rPr>
              <w:t>10分</w:t>
            </w:r>
          </w:p>
        </w:tc>
        <w:tc>
          <w:tcPr>
            <w:tcW w:w="902" w:type="dxa"/>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continue"/>
            <w:vAlign w:val="center"/>
          </w:tcPr>
          <w:p>
            <w:pPr>
              <w:widowControl/>
              <w:jc w:val="center"/>
              <w:rPr>
                <w:color w:val="000000"/>
                <w:kern w:val="0"/>
                <w:sz w:val="21"/>
                <w:szCs w:val="21"/>
              </w:rPr>
            </w:pP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加强共青团基层组织建设</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color w:val="000000"/>
                <w:kern w:val="0"/>
                <w:sz w:val="21"/>
                <w:szCs w:val="21"/>
              </w:rPr>
              <w:t>100%</w:t>
            </w:r>
          </w:p>
        </w:tc>
        <w:tc>
          <w:tcPr>
            <w:tcW w:w="810" w:type="dxa"/>
            <w:vAlign w:val="center"/>
          </w:tcPr>
          <w:p>
            <w:pPr>
              <w:widowControl/>
              <w:jc w:val="left"/>
              <w:rPr>
                <w:color w:val="000000"/>
                <w:kern w:val="0"/>
                <w:sz w:val="21"/>
                <w:szCs w:val="21"/>
              </w:rPr>
            </w:pPr>
            <w:r>
              <w:rPr>
                <w:rFonts w:hint="eastAsia"/>
                <w:color w:val="000000"/>
                <w:kern w:val="0"/>
                <w:sz w:val="21"/>
                <w:szCs w:val="21"/>
              </w:rPr>
              <w:t>10分</w:t>
            </w:r>
          </w:p>
        </w:tc>
        <w:tc>
          <w:tcPr>
            <w:tcW w:w="902" w:type="dxa"/>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生态效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widowControl/>
              <w:jc w:val="center"/>
              <w:rPr>
                <w:color w:val="000000"/>
                <w:kern w:val="0"/>
                <w:sz w:val="21"/>
                <w:szCs w:val="21"/>
              </w:rPr>
            </w:pPr>
          </w:p>
        </w:tc>
        <w:tc>
          <w:tcPr>
            <w:tcW w:w="482" w:type="pct"/>
            <w:gridSpan w:val="2"/>
            <w:vMerge w:val="continue"/>
            <w:vAlign w:val="center"/>
          </w:tcPr>
          <w:p>
            <w:pPr>
              <w:widowControl/>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可持续影响指标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优化青少年成长环境，助力青少年成长成才</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810" w:type="dxa"/>
            <w:vAlign w:val="center"/>
          </w:tcPr>
          <w:p>
            <w:pPr>
              <w:widowControl/>
              <w:jc w:val="center"/>
              <w:rPr>
                <w:color w:val="000000"/>
                <w:kern w:val="0"/>
                <w:sz w:val="21"/>
                <w:szCs w:val="21"/>
              </w:rPr>
            </w:pPr>
            <w:r>
              <w:rPr>
                <w:rFonts w:hint="eastAsia"/>
                <w:color w:val="000000"/>
                <w:kern w:val="0"/>
                <w:sz w:val="21"/>
                <w:szCs w:val="21"/>
              </w:rPr>
              <w:t>10分</w:t>
            </w:r>
          </w:p>
        </w:tc>
        <w:tc>
          <w:tcPr>
            <w:tcW w:w="902" w:type="dxa"/>
            <w:vAlign w:val="center"/>
          </w:tcPr>
          <w:p>
            <w:pPr>
              <w:widowControl/>
              <w:jc w:val="center"/>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jc w:val="left"/>
              <w:rPr>
                <w:color w:val="000000"/>
                <w:kern w:val="0"/>
                <w:sz w:val="21"/>
                <w:szCs w:val="21"/>
              </w:rPr>
            </w:pPr>
          </w:p>
        </w:tc>
        <w:tc>
          <w:tcPr>
            <w:tcW w:w="482" w:type="pct"/>
            <w:gridSpan w:val="2"/>
            <w:vAlign w:val="center"/>
          </w:tcPr>
          <w:p>
            <w:pPr>
              <w:widowControl/>
              <w:jc w:val="center"/>
              <w:rPr>
                <w:color w:val="000000"/>
                <w:kern w:val="0"/>
                <w:sz w:val="21"/>
                <w:szCs w:val="21"/>
              </w:rPr>
            </w:pPr>
            <w:r>
              <w:rPr>
                <w:color w:val="000000"/>
                <w:kern w:val="0"/>
                <w:sz w:val="21"/>
                <w:szCs w:val="21"/>
              </w:rPr>
              <w:t>满意度</w:t>
            </w:r>
          </w:p>
          <w:p>
            <w:pPr>
              <w:widowControl/>
              <w:jc w:val="center"/>
              <w:rPr>
                <w:color w:val="000000"/>
                <w:kern w:val="0"/>
                <w:sz w:val="21"/>
                <w:szCs w:val="21"/>
              </w:rPr>
            </w:pPr>
            <w:r>
              <w:rPr>
                <w:color w:val="000000"/>
                <w:kern w:val="0"/>
                <w:sz w:val="21"/>
                <w:szCs w:val="21"/>
              </w:rPr>
              <w:t>指标</w:t>
            </w:r>
          </w:p>
          <w:p>
            <w:pPr>
              <w:widowControl/>
              <w:rPr>
                <w:color w:val="000000"/>
                <w:kern w:val="0"/>
                <w:sz w:val="21"/>
                <w:szCs w:val="21"/>
              </w:rPr>
            </w:pPr>
            <w:r>
              <w:rPr>
                <w:rFonts w:hint="eastAsia"/>
                <w:color w:val="000000"/>
                <w:kern w:val="0"/>
                <w:sz w:val="21"/>
                <w:szCs w:val="21"/>
              </w:rPr>
              <w:t>(</w:t>
            </w:r>
            <w:r>
              <w:rPr>
                <w:color w:val="000000"/>
                <w:kern w:val="0"/>
                <w:sz w:val="21"/>
                <w:szCs w:val="21"/>
              </w:rPr>
              <w:t>10分</w:t>
            </w:r>
            <w:r>
              <w:rPr>
                <w:rFonts w:hint="eastAsia"/>
                <w:color w:val="000000"/>
                <w:kern w:val="0"/>
                <w:sz w:val="21"/>
                <w:szCs w:val="21"/>
              </w:rPr>
              <w:t>)</w:t>
            </w:r>
          </w:p>
        </w:tc>
        <w:tc>
          <w:tcPr>
            <w:tcW w:w="626" w:type="pct"/>
            <w:vAlign w:val="center"/>
          </w:tcPr>
          <w:p>
            <w:pPr>
              <w:widowControl/>
              <w:jc w:val="center"/>
              <w:rPr>
                <w:color w:val="000000"/>
                <w:kern w:val="0"/>
                <w:sz w:val="21"/>
                <w:szCs w:val="21"/>
              </w:rPr>
            </w:pPr>
            <w:r>
              <w:rPr>
                <w:color w:val="000000"/>
                <w:kern w:val="0"/>
                <w:sz w:val="21"/>
                <w:szCs w:val="21"/>
              </w:rPr>
              <w:t>服务对象满意度指标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服务全市青年满意度</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w:t>
            </w:r>
            <w:r>
              <w:rPr>
                <w:color w:val="000000"/>
                <w:kern w:val="0"/>
                <w:sz w:val="21"/>
                <w:szCs w:val="21"/>
              </w:rPr>
              <w:t>　</w:t>
            </w:r>
            <w:r>
              <w:rPr>
                <w:rFonts w:hint="eastAsia" w:ascii="Times New Roman" w:hAnsi="Times New Roman"/>
                <w:color w:val="000000"/>
                <w:kern w:val="0"/>
                <w:sz w:val="22"/>
              </w:rPr>
              <w:t>95%</w:t>
            </w:r>
          </w:p>
        </w:tc>
        <w:tc>
          <w:tcPr>
            <w:tcW w:w="532" w:type="pct"/>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95%</w:t>
            </w:r>
          </w:p>
        </w:tc>
        <w:tc>
          <w:tcPr>
            <w:tcW w:w="810" w:type="dxa"/>
            <w:vAlign w:val="center"/>
          </w:tcPr>
          <w:p>
            <w:pPr>
              <w:widowControl/>
              <w:jc w:val="center"/>
              <w:rPr>
                <w:color w:val="000000"/>
                <w:kern w:val="0"/>
                <w:sz w:val="21"/>
                <w:szCs w:val="21"/>
              </w:rPr>
            </w:pPr>
            <w:r>
              <w:rPr>
                <w:rFonts w:hint="eastAsia"/>
                <w:color w:val="000000"/>
                <w:kern w:val="0"/>
                <w:sz w:val="21"/>
                <w:szCs w:val="21"/>
              </w:rPr>
              <w:t>10分</w:t>
            </w:r>
          </w:p>
        </w:tc>
        <w:tc>
          <w:tcPr>
            <w:tcW w:w="902" w:type="dxa"/>
            <w:vAlign w:val="center"/>
          </w:tcPr>
          <w:p>
            <w:pPr>
              <w:widowControl/>
              <w:jc w:val="center"/>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3" w:type="pct"/>
            <w:gridSpan w:val="7"/>
            <w:vAlign w:val="center"/>
          </w:tcPr>
          <w:p>
            <w:pPr>
              <w:widowControl/>
              <w:jc w:val="center"/>
              <w:rPr>
                <w:color w:val="000000"/>
                <w:kern w:val="0"/>
                <w:sz w:val="21"/>
                <w:szCs w:val="21"/>
              </w:rPr>
            </w:pPr>
            <w:r>
              <w:rPr>
                <w:color w:val="000000"/>
                <w:kern w:val="0"/>
                <w:sz w:val="21"/>
                <w:szCs w:val="21"/>
              </w:rPr>
              <w:t>总分</w:t>
            </w:r>
          </w:p>
        </w:tc>
        <w:tc>
          <w:tcPr>
            <w:tcW w:w="447" w:type="pct"/>
            <w:vAlign w:val="center"/>
          </w:tcPr>
          <w:p>
            <w:pPr>
              <w:widowControl/>
              <w:jc w:val="center"/>
              <w:rPr>
                <w:color w:val="000000"/>
                <w:kern w:val="0"/>
                <w:sz w:val="21"/>
                <w:szCs w:val="21"/>
              </w:rPr>
            </w:pPr>
            <w:r>
              <w:rPr>
                <w:color w:val="000000"/>
                <w:kern w:val="0"/>
                <w:sz w:val="21"/>
                <w:szCs w:val="21"/>
              </w:rPr>
              <w:t>100</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bl>
    <w:p>
      <w:pPr>
        <w:widowControl/>
        <w:spacing w:line="240" w:lineRule="exact"/>
        <w:jc w:val="left"/>
        <w:rPr>
          <w:rFonts w:ascii="Times New Roman" w:hAnsi="Times New Roman"/>
          <w:kern w:val="0"/>
          <w:sz w:val="21"/>
          <w:szCs w:val="21"/>
        </w:rPr>
      </w:pPr>
      <w:r>
        <w:rPr>
          <w:rFonts w:hint="eastAsia"/>
          <w:kern w:val="0"/>
          <w:sz w:val="22"/>
        </w:rPr>
        <w:t>备注：每个一级项目支出一张表。如：业务工作经费，运行维护经费，其他类资金</w:t>
      </w:r>
      <w:r>
        <w:rPr>
          <w:kern w:val="0"/>
          <w:sz w:val="22"/>
        </w:rPr>
        <w:t>...</w:t>
      </w:r>
      <w:r>
        <w:rPr>
          <w:rFonts w:hint="eastAsia"/>
          <w:kern w:val="0"/>
          <w:sz w:val="22"/>
        </w:rPr>
        <w:t>各一张表。</w:t>
      </w:r>
    </w:p>
    <w:p>
      <w:pPr>
        <w:pStyle w:val="4"/>
        <w:spacing w:line="600" w:lineRule="exact"/>
        <w:rPr>
          <w:rFonts w:ascii="Times New Roman" w:hAnsi="Times New Roman"/>
          <w:kern w:val="0"/>
          <w:sz w:val="21"/>
          <w:szCs w:val="21"/>
        </w:rPr>
      </w:pPr>
      <w:r>
        <w:rPr>
          <w:rFonts w:ascii="Times New Roman" w:hAnsi="Times New Roman"/>
          <w:kern w:val="0"/>
          <w:sz w:val="21"/>
          <w:szCs w:val="21"/>
        </w:rPr>
        <w:t>填表人：</w:t>
      </w:r>
      <w:r>
        <w:rPr>
          <w:rFonts w:hint="eastAsia" w:ascii="Times New Roman" w:hAnsi="Times New Roman"/>
          <w:kern w:val="0"/>
          <w:sz w:val="21"/>
          <w:szCs w:val="21"/>
        </w:rPr>
        <w:t xml:space="preserve">方亚龙  </w:t>
      </w:r>
      <w:r>
        <w:rPr>
          <w:rFonts w:ascii="Times New Roman" w:hAnsi="Times New Roman"/>
          <w:kern w:val="0"/>
          <w:sz w:val="21"/>
          <w:szCs w:val="21"/>
        </w:rPr>
        <w:t>填报日期：</w:t>
      </w:r>
      <w:r>
        <w:rPr>
          <w:rFonts w:hint="eastAsia" w:ascii="Times New Roman" w:hAnsi="Times New Roman"/>
          <w:kern w:val="0"/>
          <w:sz w:val="21"/>
          <w:szCs w:val="21"/>
        </w:rPr>
        <w:t xml:space="preserve">2025.4.22 </w:t>
      </w:r>
      <w:r>
        <w:rPr>
          <w:rFonts w:ascii="Times New Roman" w:hAnsi="Times New Roman"/>
          <w:kern w:val="0"/>
          <w:sz w:val="21"/>
          <w:szCs w:val="21"/>
        </w:rPr>
        <w:t xml:space="preserve">   联系电话：</w:t>
      </w:r>
      <w:r>
        <w:rPr>
          <w:rFonts w:hint="eastAsia" w:ascii="Times New Roman" w:hAnsi="Times New Roman"/>
          <w:kern w:val="0"/>
          <w:sz w:val="21"/>
          <w:szCs w:val="21"/>
        </w:rPr>
        <w:t xml:space="preserve">17363769278 </w:t>
      </w:r>
      <w:r>
        <w:rPr>
          <w:rFonts w:ascii="Times New Roman" w:hAnsi="Times New Roman"/>
          <w:kern w:val="0"/>
          <w:sz w:val="21"/>
          <w:szCs w:val="21"/>
        </w:rPr>
        <w:t xml:space="preserve"> 单位负责人签字：</w:t>
      </w: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kern w:val="0"/>
          <w:sz w:val="21"/>
          <w:szCs w:val="21"/>
        </w:rPr>
      </w:pPr>
    </w:p>
    <w:p>
      <w:pPr>
        <w:pStyle w:val="4"/>
        <w:spacing w:line="600" w:lineRule="exact"/>
        <w:rPr>
          <w:rFonts w:ascii="Times New Roman" w:hAnsi="Times New Roman" w:eastAsia="黑体"/>
          <w:kern w:val="0"/>
          <w:sz w:val="22"/>
          <w:szCs w:val="24"/>
        </w:rPr>
      </w:pPr>
      <w:r>
        <w:rPr>
          <w:rFonts w:ascii="Times New Roman" w:hAnsi="Times New Roman" w:eastAsia="黑体"/>
          <w:szCs w:val="32"/>
        </w:rPr>
        <w:t>附件</w:t>
      </w:r>
      <w:r>
        <w:rPr>
          <w:rFonts w:hint="eastAsia" w:ascii="Times New Roman" w:hAnsi="Times New Roman" w:eastAsia="黑体"/>
          <w:szCs w:val="32"/>
        </w:rPr>
        <w:t>4</w:t>
      </w: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4</w:t>
      </w:r>
      <w:r>
        <w:rPr>
          <w:rFonts w:ascii="Times New Roman" w:hAnsi="Times New Roman" w:eastAsia="方正小标宋_GBK"/>
          <w:color w:val="000000"/>
          <w:kern w:val="0"/>
          <w:sz w:val="36"/>
          <w:szCs w:val="36"/>
        </w:rPr>
        <w:t>年度项目支出绩效自评表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04"/>
        <w:gridCol w:w="69"/>
        <w:gridCol w:w="1134"/>
        <w:gridCol w:w="1266"/>
        <w:gridCol w:w="931"/>
        <w:gridCol w:w="965"/>
        <w:gridCol w:w="810"/>
        <w:gridCol w:w="90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33" w:type="pct"/>
            <w:gridSpan w:val="2"/>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项目支出名称</w:t>
            </w:r>
          </w:p>
        </w:tc>
        <w:tc>
          <w:tcPr>
            <w:tcW w:w="3966" w:type="pct"/>
            <w:gridSpan w:val="8"/>
            <w:vAlign w:val="center"/>
          </w:tcPr>
          <w:p>
            <w:pPr>
              <w:widowControl/>
              <w:jc w:val="center"/>
              <w:rPr>
                <w:color w:val="000000"/>
                <w:kern w:val="0"/>
                <w:sz w:val="21"/>
                <w:szCs w:val="21"/>
              </w:rPr>
            </w:pPr>
            <w:r>
              <w:rPr>
                <w:rFonts w:hint="eastAsia"/>
                <w:color w:val="000000"/>
                <w:kern w:val="0"/>
                <w:sz w:val="21"/>
                <w:szCs w:val="21"/>
              </w:rPr>
              <w:t>第三届银城青年英才支持经费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widowControl/>
              <w:jc w:val="left"/>
              <w:rPr>
                <w:color w:val="000000"/>
                <w:kern w:val="0"/>
                <w:sz w:val="21"/>
                <w:szCs w:val="21"/>
              </w:rPr>
            </w:pPr>
            <w:r>
              <w:rPr>
                <w:color w:val="000000"/>
                <w:kern w:val="0"/>
                <w:sz w:val="21"/>
                <w:szCs w:val="21"/>
              </w:rPr>
              <w:t>主管部门</w:t>
            </w:r>
          </w:p>
        </w:tc>
        <w:tc>
          <w:tcPr>
            <w:tcW w:w="2321" w:type="pct"/>
            <w:gridSpan w:val="5"/>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共青团益阳市委</w:t>
            </w:r>
          </w:p>
        </w:tc>
        <w:tc>
          <w:tcPr>
            <w:tcW w:w="532" w:type="pct"/>
            <w:vAlign w:val="center"/>
          </w:tcPr>
          <w:p>
            <w:pPr>
              <w:widowControl/>
              <w:jc w:val="center"/>
              <w:rPr>
                <w:color w:val="000000"/>
                <w:kern w:val="0"/>
                <w:sz w:val="21"/>
                <w:szCs w:val="21"/>
              </w:rPr>
            </w:pPr>
            <w:r>
              <w:rPr>
                <w:color w:val="000000"/>
                <w:kern w:val="0"/>
                <w:sz w:val="21"/>
                <w:szCs w:val="21"/>
              </w:rPr>
              <w:t>实施单位</w:t>
            </w:r>
          </w:p>
        </w:tc>
        <w:tc>
          <w:tcPr>
            <w:tcW w:w="1556" w:type="pct"/>
            <w:gridSpan w:val="3"/>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共青团益阳市委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项目资金</w:t>
            </w:r>
            <w:r>
              <w:rPr>
                <w:color w:val="000000"/>
                <w:kern w:val="0"/>
                <w:sz w:val="21"/>
                <w:szCs w:val="21"/>
              </w:rPr>
              <w:br w:type="textWrapping"/>
            </w:r>
            <w:r>
              <w:rPr>
                <w:color w:val="000000"/>
                <w:kern w:val="0"/>
                <w:sz w:val="21"/>
                <w:szCs w:val="21"/>
              </w:rPr>
              <w:t>（万元）</w:t>
            </w:r>
          </w:p>
        </w:tc>
        <w:tc>
          <w:tcPr>
            <w:tcW w:w="1108" w:type="pct"/>
            <w:gridSpan w:val="3"/>
            <w:vAlign w:val="center"/>
          </w:tcPr>
          <w:p>
            <w:pPr>
              <w:widowControl/>
              <w:jc w:val="left"/>
              <w:rPr>
                <w:color w:val="000000"/>
                <w:kern w:val="0"/>
                <w:sz w:val="21"/>
                <w:szCs w:val="21"/>
              </w:rPr>
            </w:pPr>
            <w:r>
              <w:rPr>
                <w:color w:val="000000"/>
                <w:kern w:val="0"/>
                <w:sz w:val="21"/>
                <w:szCs w:val="21"/>
              </w:rPr>
              <w:t>　</w:t>
            </w:r>
          </w:p>
        </w:tc>
        <w:tc>
          <w:tcPr>
            <w:tcW w:w="699" w:type="pct"/>
            <w:vAlign w:val="center"/>
          </w:tcPr>
          <w:p>
            <w:pPr>
              <w:widowControl/>
              <w:jc w:val="left"/>
              <w:rPr>
                <w:color w:val="000000"/>
                <w:kern w:val="0"/>
                <w:sz w:val="21"/>
                <w:szCs w:val="21"/>
              </w:rPr>
            </w:pPr>
            <w:r>
              <w:rPr>
                <w:rFonts w:hint="eastAsia"/>
                <w:color w:val="000000"/>
                <w:kern w:val="0"/>
                <w:sz w:val="21"/>
                <w:szCs w:val="21"/>
              </w:rPr>
              <w:t>年</w:t>
            </w:r>
            <w:r>
              <w:rPr>
                <w:color w:val="000000"/>
                <w:kern w:val="0"/>
                <w:sz w:val="21"/>
                <w:szCs w:val="21"/>
              </w:rPr>
              <w:t>初预算数</w:t>
            </w:r>
          </w:p>
        </w:tc>
        <w:tc>
          <w:tcPr>
            <w:tcW w:w="513" w:type="pct"/>
            <w:vAlign w:val="center"/>
          </w:tcPr>
          <w:p>
            <w:pPr>
              <w:widowControl/>
              <w:jc w:val="left"/>
              <w:rPr>
                <w:color w:val="000000"/>
                <w:kern w:val="0"/>
                <w:sz w:val="21"/>
                <w:szCs w:val="21"/>
              </w:rPr>
            </w:pPr>
            <w:r>
              <w:rPr>
                <w:color w:val="000000"/>
                <w:kern w:val="0"/>
                <w:sz w:val="21"/>
                <w:szCs w:val="21"/>
              </w:rPr>
              <w:t>全年预算数</w:t>
            </w:r>
          </w:p>
        </w:tc>
        <w:tc>
          <w:tcPr>
            <w:tcW w:w="532" w:type="pct"/>
            <w:vAlign w:val="center"/>
          </w:tcPr>
          <w:p>
            <w:pPr>
              <w:jc w:val="left"/>
              <w:rPr>
                <w:sz w:val="21"/>
                <w:szCs w:val="21"/>
              </w:rPr>
            </w:pPr>
            <w:r>
              <w:rPr>
                <w:sz w:val="21"/>
                <w:szCs w:val="21"/>
              </w:rPr>
              <w:t>全年</w:t>
            </w:r>
          </w:p>
          <w:p>
            <w:pPr>
              <w:jc w:val="left"/>
              <w:rPr>
                <w:sz w:val="21"/>
                <w:szCs w:val="21"/>
              </w:rPr>
            </w:pPr>
            <w:r>
              <w:rPr>
                <w:sz w:val="21"/>
                <w:szCs w:val="21"/>
              </w:rPr>
              <w:t>执行数</w:t>
            </w:r>
          </w:p>
        </w:tc>
        <w:tc>
          <w:tcPr>
            <w:tcW w:w="447" w:type="pct"/>
            <w:vAlign w:val="center"/>
          </w:tcPr>
          <w:p>
            <w:pPr>
              <w:jc w:val="left"/>
              <w:rPr>
                <w:sz w:val="21"/>
                <w:szCs w:val="21"/>
              </w:rPr>
            </w:pPr>
            <w:r>
              <w:rPr>
                <w:sz w:val="21"/>
                <w:szCs w:val="21"/>
              </w:rPr>
              <w:t>分值</w:t>
            </w:r>
          </w:p>
        </w:tc>
        <w:tc>
          <w:tcPr>
            <w:tcW w:w="498" w:type="pct"/>
            <w:vAlign w:val="center"/>
          </w:tcPr>
          <w:p>
            <w:pPr>
              <w:jc w:val="left"/>
              <w:rPr>
                <w:sz w:val="21"/>
                <w:szCs w:val="21"/>
              </w:rPr>
            </w:pPr>
            <w:r>
              <w:rPr>
                <w:sz w:val="21"/>
                <w:szCs w:val="21"/>
              </w:rPr>
              <w:t>执行率</w:t>
            </w:r>
          </w:p>
        </w:tc>
        <w:tc>
          <w:tcPr>
            <w:tcW w:w="611" w:type="pct"/>
            <w:vAlign w:val="center"/>
          </w:tcPr>
          <w:p>
            <w:pPr>
              <w:jc w:val="left"/>
              <w:rPr>
                <w:sz w:val="21"/>
                <w:szCs w:val="21"/>
              </w:rPr>
            </w:pPr>
            <w:r>
              <w:rPr>
                <w:rFonts w:hint="eastAsia"/>
                <w:sz w:val="21"/>
                <w:szCs w:val="21"/>
              </w:rPr>
              <w:t>自评</w:t>
            </w:r>
            <w:r>
              <w:rPr>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年度资金总额　</w:t>
            </w:r>
          </w:p>
        </w:tc>
        <w:tc>
          <w:tcPr>
            <w:tcW w:w="699" w:type="pct"/>
            <w:vAlign w:val="center"/>
          </w:tcPr>
          <w:p>
            <w:pPr>
              <w:widowControl/>
              <w:jc w:val="left"/>
              <w:rPr>
                <w:color w:val="000000"/>
                <w:kern w:val="0"/>
                <w:sz w:val="21"/>
                <w:szCs w:val="21"/>
              </w:rPr>
            </w:pPr>
          </w:p>
        </w:tc>
        <w:tc>
          <w:tcPr>
            <w:tcW w:w="513" w:type="pct"/>
            <w:vAlign w:val="center"/>
          </w:tcPr>
          <w:p>
            <w:pPr>
              <w:widowControl/>
              <w:jc w:val="center"/>
              <w:rPr>
                <w:color w:val="000000"/>
                <w:kern w:val="0"/>
                <w:sz w:val="21"/>
                <w:szCs w:val="21"/>
              </w:rPr>
            </w:pPr>
            <w:r>
              <w:rPr>
                <w:rFonts w:hint="eastAsia"/>
                <w:color w:val="000000"/>
                <w:kern w:val="0"/>
                <w:sz w:val="21"/>
                <w:szCs w:val="21"/>
              </w:rPr>
              <w:t>100</w:t>
            </w:r>
          </w:p>
        </w:tc>
        <w:tc>
          <w:tcPr>
            <w:tcW w:w="532" w:type="pct"/>
            <w:vAlign w:val="center"/>
          </w:tcPr>
          <w:p>
            <w:pPr>
              <w:widowControl/>
              <w:jc w:val="center"/>
              <w:rPr>
                <w:color w:val="000000"/>
                <w:kern w:val="0"/>
                <w:sz w:val="21"/>
                <w:szCs w:val="21"/>
              </w:rPr>
            </w:pPr>
            <w:r>
              <w:rPr>
                <w:rFonts w:hint="eastAsia"/>
                <w:color w:val="000000"/>
                <w:kern w:val="0"/>
                <w:sz w:val="21"/>
                <w:szCs w:val="21"/>
              </w:rPr>
              <w:t>100</w:t>
            </w:r>
          </w:p>
        </w:tc>
        <w:tc>
          <w:tcPr>
            <w:tcW w:w="447" w:type="pct"/>
            <w:vAlign w:val="center"/>
          </w:tcPr>
          <w:p>
            <w:pPr>
              <w:widowControl/>
              <w:jc w:val="center"/>
              <w:rPr>
                <w:color w:val="000000"/>
                <w:kern w:val="0"/>
                <w:sz w:val="21"/>
                <w:szCs w:val="21"/>
              </w:rPr>
            </w:pPr>
            <w:r>
              <w:rPr>
                <w:color w:val="000000"/>
                <w:kern w:val="0"/>
                <w:sz w:val="21"/>
                <w:szCs w:val="21"/>
              </w:rPr>
              <w:t>10</w:t>
            </w:r>
          </w:p>
        </w:tc>
        <w:tc>
          <w:tcPr>
            <w:tcW w:w="498" w:type="pct"/>
            <w:vAlign w:val="center"/>
          </w:tcPr>
          <w:p>
            <w:pPr>
              <w:widowControl/>
              <w:jc w:val="center"/>
              <w:rPr>
                <w:color w:val="000000"/>
                <w:kern w:val="0"/>
                <w:sz w:val="21"/>
                <w:szCs w:val="21"/>
              </w:rPr>
            </w:pPr>
            <w:r>
              <w:rPr>
                <w:rFonts w:hint="eastAsia"/>
                <w:color w:val="000000"/>
                <w:kern w:val="0"/>
                <w:sz w:val="21"/>
                <w:szCs w:val="21"/>
              </w:rPr>
              <w:t>100%</w:t>
            </w:r>
          </w:p>
        </w:tc>
        <w:tc>
          <w:tcPr>
            <w:tcW w:w="611" w:type="pct"/>
            <w:vAlign w:val="center"/>
          </w:tcPr>
          <w:p>
            <w:pPr>
              <w:widowControl/>
              <w:jc w:val="center"/>
              <w:rPr>
                <w:color w:val="000000"/>
                <w:kern w:val="0"/>
                <w:sz w:val="21"/>
                <w:szCs w:val="21"/>
              </w:rPr>
            </w:pPr>
            <w:r>
              <w:rPr>
                <w:rFonts w:hint="eastAsia"/>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其中：当年财政拨款　</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rFonts w:hint="eastAsia"/>
                <w:color w:val="000000"/>
                <w:kern w:val="0"/>
                <w:sz w:val="21"/>
                <w:szCs w:val="21"/>
              </w:rPr>
              <w:t>100</w:t>
            </w:r>
          </w:p>
        </w:tc>
        <w:tc>
          <w:tcPr>
            <w:tcW w:w="532" w:type="pct"/>
            <w:vAlign w:val="center"/>
          </w:tcPr>
          <w:p>
            <w:pPr>
              <w:widowControl/>
              <w:jc w:val="left"/>
              <w:rPr>
                <w:color w:val="000000"/>
                <w:kern w:val="0"/>
                <w:sz w:val="21"/>
                <w:szCs w:val="21"/>
              </w:rPr>
            </w:pPr>
            <w:r>
              <w:rPr>
                <w:rFonts w:hint="eastAsia"/>
                <w:color w:val="000000"/>
                <w:kern w:val="0"/>
                <w:sz w:val="21"/>
                <w:szCs w:val="21"/>
              </w:rPr>
              <w:t>100</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上年结转资金　</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widowControl/>
              <w:jc w:val="left"/>
              <w:rPr>
                <w:color w:val="000000"/>
                <w:kern w:val="0"/>
                <w:sz w:val="21"/>
                <w:szCs w:val="21"/>
              </w:rPr>
            </w:pPr>
          </w:p>
        </w:tc>
        <w:tc>
          <w:tcPr>
            <w:tcW w:w="1108" w:type="pct"/>
            <w:gridSpan w:val="3"/>
            <w:vAlign w:val="center"/>
          </w:tcPr>
          <w:p>
            <w:pPr>
              <w:widowControl/>
              <w:jc w:val="left"/>
              <w:rPr>
                <w:color w:val="000000"/>
                <w:kern w:val="0"/>
                <w:sz w:val="21"/>
                <w:szCs w:val="21"/>
              </w:rPr>
            </w:pPr>
            <w:r>
              <w:rPr>
                <w:color w:val="000000"/>
                <w:kern w:val="0"/>
                <w:sz w:val="21"/>
                <w:szCs w:val="21"/>
              </w:rPr>
              <w:t>其他资金</w:t>
            </w:r>
          </w:p>
        </w:tc>
        <w:tc>
          <w:tcPr>
            <w:tcW w:w="699" w:type="pct"/>
            <w:vAlign w:val="center"/>
          </w:tcPr>
          <w:p>
            <w:pPr>
              <w:widowControl/>
              <w:jc w:val="left"/>
              <w:rPr>
                <w:color w:val="000000"/>
                <w:kern w:val="0"/>
                <w:sz w:val="21"/>
                <w:szCs w:val="21"/>
              </w:rPr>
            </w:pPr>
            <w:r>
              <w:rPr>
                <w:color w:val="000000"/>
                <w:kern w:val="0"/>
                <w:sz w:val="21"/>
                <w:szCs w:val="21"/>
              </w:rPr>
              <w:t>　</w:t>
            </w: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年度总体目标</w:t>
            </w:r>
          </w:p>
        </w:tc>
        <w:tc>
          <w:tcPr>
            <w:tcW w:w="2321" w:type="pct"/>
            <w:gridSpan w:val="5"/>
            <w:vAlign w:val="center"/>
          </w:tcPr>
          <w:p>
            <w:pPr>
              <w:widowControl/>
              <w:jc w:val="center"/>
              <w:rPr>
                <w:color w:val="000000"/>
                <w:kern w:val="0"/>
                <w:sz w:val="21"/>
                <w:szCs w:val="21"/>
              </w:rPr>
            </w:pPr>
            <w:r>
              <w:rPr>
                <w:color w:val="000000"/>
                <w:kern w:val="0"/>
                <w:sz w:val="21"/>
                <w:szCs w:val="21"/>
              </w:rPr>
              <w:t>预期目标</w:t>
            </w:r>
          </w:p>
        </w:tc>
        <w:tc>
          <w:tcPr>
            <w:tcW w:w="2089" w:type="pct"/>
            <w:gridSpan w:val="4"/>
            <w:vAlign w:val="center"/>
          </w:tcPr>
          <w:p>
            <w:pPr>
              <w:widowControl/>
              <w:jc w:val="center"/>
              <w:rPr>
                <w:color w:val="000000"/>
                <w:kern w:val="0"/>
                <w:sz w:val="21"/>
                <w:szCs w:val="21"/>
              </w:rPr>
            </w:pPr>
            <w:r>
              <w:rPr>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9" w:type="pct"/>
            <w:vMerge w:val="continue"/>
            <w:vAlign w:val="center"/>
          </w:tcPr>
          <w:p>
            <w:pPr>
              <w:widowControl/>
              <w:jc w:val="left"/>
              <w:rPr>
                <w:color w:val="000000"/>
                <w:kern w:val="0"/>
                <w:sz w:val="21"/>
                <w:szCs w:val="21"/>
              </w:rPr>
            </w:pPr>
          </w:p>
        </w:tc>
        <w:tc>
          <w:tcPr>
            <w:tcW w:w="2321" w:type="pct"/>
            <w:gridSpan w:val="5"/>
            <w:vAlign w:val="center"/>
          </w:tcPr>
          <w:p>
            <w:pPr>
              <w:widowControl/>
              <w:ind w:firstLine="210" w:firstLineChars="100"/>
              <w:rPr>
                <w:color w:val="000000"/>
                <w:kern w:val="0"/>
                <w:sz w:val="21"/>
                <w:szCs w:val="21"/>
              </w:rPr>
            </w:pPr>
            <w:r>
              <w:rPr>
                <w:rFonts w:hint="eastAsia"/>
                <w:color w:val="000000"/>
                <w:kern w:val="0"/>
                <w:sz w:val="21"/>
                <w:szCs w:val="21"/>
              </w:rPr>
              <w:t>选拔和培育一批本土青年人才，激发了全市青年人才发展内在动力</w:t>
            </w:r>
          </w:p>
        </w:tc>
        <w:tc>
          <w:tcPr>
            <w:tcW w:w="2089" w:type="pct"/>
            <w:gridSpan w:val="4"/>
            <w:vAlign w:val="center"/>
          </w:tcPr>
          <w:p>
            <w:pPr>
              <w:widowControl/>
              <w:ind w:firstLine="210" w:firstLineChars="100"/>
              <w:jc w:val="left"/>
              <w:rPr>
                <w:color w:val="000000"/>
                <w:kern w:val="0"/>
                <w:sz w:val="21"/>
                <w:szCs w:val="21"/>
              </w:rPr>
            </w:pPr>
            <w:r>
              <w:rPr>
                <w:rFonts w:hint="eastAsia"/>
                <w:color w:val="000000"/>
                <w:kern w:val="0"/>
                <w:sz w:val="21"/>
                <w:szCs w:val="21"/>
              </w:rPr>
              <w:t>经组织申报、资格审查、专家评审、实地考察、社会公示、确定全市10名青年人才纳入第三届银城青年英才支持人选名单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9" w:type="pct"/>
            <w:vMerge w:val="restart"/>
            <w:vAlign w:val="center"/>
          </w:tcPr>
          <w:p>
            <w:pPr>
              <w:widowControl/>
              <w:jc w:val="center"/>
              <w:rPr>
                <w:color w:val="000000"/>
                <w:kern w:val="0"/>
                <w:sz w:val="21"/>
                <w:szCs w:val="21"/>
              </w:rPr>
            </w:pPr>
            <w:r>
              <w:rPr>
                <w:color w:val="000000"/>
                <w:kern w:val="0"/>
                <w:sz w:val="21"/>
                <w:szCs w:val="21"/>
              </w:rPr>
              <w:t>绩</w:t>
            </w:r>
          </w:p>
          <w:p>
            <w:pPr>
              <w:widowControl/>
              <w:jc w:val="center"/>
              <w:rPr>
                <w:color w:val="000000"/>
                <w:kern w:val="0"/>
                <w:sz w:val="21"/>
                <w:szCs w:val="21"/>
              </w:rPr>
            </w:pPr>
            <w:r>
              <w:rPr>
                <w:color w:val="000000"/>
                <w:kern w:val="0"/>
                <w:sz w:val="21"/>
                <w:szCs w:val="21"/>
              </w:rPr>
              <w:t>效</w:t>
            </w:r>
          </w:p>
          <w:p>
            <w:pPr>
              <w:widowControl/>
              <w:jc w:val="center"/>
              <w:rPr>
                <w:color w:val="000000"/>
                <w:kern w:val="0"/>
                <w:sz w:val="21"/>
                <w:szCs w:val="21"/>
              </w:rPr>
            </w:pPr>
            <w:r>
              <w:rPr>
                <w:color w:val="000000"/>
                <w:kern w:val="0"/>
                <w:sz w:val="21"/>
                <w:szCs w:val="21"/>
              </w:rPr>
              <w:t>指</w:t>
            </w:r>
          </w:p>
          <w:p>
            <w:pPr>
              <w:widowControl/>
              <w:jc w:val="center"/>
              <w:rPr>
                <w:color w:val="000000"/>
                <w:kern w:val="0"/>
                <w:sz w:val="21"/>
                <w:szCs w:val="21"/>
              </w:rPr>
            </w:pPr>
            <w:r>
              <w:rPr>
                <w:color w:val="000000"/>
                <w:kern w:val="0"/>
                <w:sz w:val="21"/>
                <w:szCs w:val="21"/>
              </w:rPr>
              <w:t>标</w:t>
            </w:r>
          </w:p>
        </w:tc>
        <w:tc>
          <w:tcPr>
            <w:tcW w:w="482" w:type="pct"/>
            <w:gridSpan w:val="2"/>
            <w:vAlign w:val="center"/>
          </w:tcPr>
          <w:p>
            <w:pPr>
              <w:widowControl/>
              <w:spacing w:line="240" w:lineRule="exact"/>
              <w:jc w:val="center"/>
              <w:rPr>
                <w:color w:val="000000"/>
                <w:kern w:val="0"/>
                <w:sz w:val="21"/>
                <w:szCs w:val="21"/>
              </w:rPr>
            </w:pPr>
            <w:r>
              <w:rPr>
                <w:color w:val="000000"/>
                <w:kern w:val="0"/>
                <w:sz w:val="21"/>
                <w:szCs w:val="21"/>
              </w:rPr>
              <w:t>一级指标</w:t>
            </w:r>
          </w:p>
        </w:tc>
        <w:tc>
          <w:tcPr>
            <w:tcW w:w="626" w:type="pct"/>
            <w:vAlign w:val="center"/>
          </w:tcPr>
          <w:p>
            <w:pPr>
              <w:widowControl/>
              <w:spacing w:line="240" w:lineRule="exact"/>
              <w:jc w:val="center"/>
              <w:rPr>
                <w:color w:val="000000"/>
                <w:kern w:val="0"/>
                <w:sz w:val="21"/>
                <w:szCs w:val="21"/>
              </w:rPr>
            </w:pPr>
            <w:r>
              <w:rPr>
                <w:color w:val="000000"/>
                <w:kern w:val="0"/>
                <w:sz w:val="21"/>
                <w:szCs w:val="21"/>
              </w:rPr>
              <w:t>二级指标</w:t>
            </w:r>
          </w:p>
        </w:tc>
        <w:tc>
          <w:tcPr>
            <w:tcW w:w="699" w:type="pct"/>
            <w:vAlign w:val="center"/>
          </w:tcPr>
          <w:p>
            <w:pPr>
              <w:widowControl/>
              <w:spacing w:line="240" w:lineRule="exact"/>
              <w:jc w:val="center"/>
              <w:rPr>
                <w:color w:val="000000"/>
                <w:kern w:val="0"/>
                <w:sz w:val="21"/>
                <w:szCs w:val="21"/>
              </w:rPr>
            </w:pPr>
            <w:r>
              <w:rPr>
                <w:color w:val="000000"/>
                <w:kern w:val="0"/>
                <w:sz w:val="21"/>
                <w:szCs w:val="21"/>
              </w:rPr>
              <w:t>三级指标</w:t>
            </w:r>
          </w:p>
        </w:tc>
        <w:tc>
          <w:tcPr>
            <w:tcW w:w="513" w:type="pct"/>
            <w:vAlign w:val="center"/>
          </w:tcPr>
          <w:p>
            <w:pPr>
              <w:widowControl/>
              <w:spacing w:line="240" w:lineRule="exact"/>
              <w:jc w:val="center"/>
              <w:rPr>
                <w:color w:val="000000"/>
                <w:kern w:val="0"/>
                <w:sz w:val="21"/>
                <w:szCs w:val="21"/>
              </w:rPr>
            </w:pPr>
            <w:r>
              <w:rPr>
                <w:color w:val="000000"/>
                <w:kern w:val="0"/>
                <w:sz w:val="21"/>
                <w:szCs w:val="21"/>
              </w:rPr>
              <w:t>年度</w:t>
            </w:r>
          </w:p>
          <w:p>
            <w:pPr>
              <w:widowControl/>
              <w:spacing w:line="240" w:lineRule="exact"/>
              <w:jc w:val="center"/>
              <w:rPr>
                <w:color w:val="000000"/>
                <w:kern w:val="0"/>
                <w:sz w:val="21"/>
                <w:szCs w:val="21"/>
              </w:rPr>
            </w:pPr>
            <w:r>
              <w:rPr>
                <w:color w:val="000000"/>
                <w:kern w:val="0"/>
                <w:sz w:val="21"/>
                <w:szCs w:val="21"/>
              </w:rPr>
              <w:t>指标值</w:t>
            </w:r>
          </w:p>
        </w:tc>
        <w:tc>
          <w:tcPr>
            <w:tcW w:w="532" w:type="pct"/>
            <w:vAlign w:val="center"/>
          </w:tcPr>
          <w:p>
            <w:pPr>
              <w:widowControl/>
              <w:spacing w:line="240" w:lineRule="exact"/>
              <w:jc w:val="center"/>
              <w:rPr>
                <w:color w:val="000000"/>
                <w:kern w:val="0"/>
                <w:sz w:val="21"/>
                <w:szCs w:val="21"/>
              </w:rPr>
            </w:pPr>
            <w:r>
              <w:rPr>
                <w:color w:val="000000"/>
                <w:kern w:val="0"/>
                <w:sz w:val="21"/>
                <w:szCs w:val="21"/>
              </w:rPr>
              <w:t>实际</w:t>
            </w:r>
          </w:p>
          <w:p>
            <w:pPr>
              <w:widowControl/>
              <w:spacing w:line="240" w:lineRule="exact"/>
              <w:jc w:val="center"/>
              <w:rPr>
                <w:color w:val="000000"/>
                <w:kern w:val="0"/>
                <w:sz w:val="21"/>
                <w:szCs w:val="21"/>
              </w:rPr>
            </w:pPr>
            <w:r>
              <w:rPr>
                <w:color w:val="000000"/>
                <w:kern w:val="0"/>
                <w:sz w:val="21"/>
                <w:szCs w:val="21"/>
              </w:rPr>
              <w:t>完成值</w:t>
            </w:r>
          </w:p>
        </w:tc>
        <w:tc>
          <w:tcPr>
            <w:tcW w:w="447" w:type="pct"/>
            <w:vAlign w:val="center"/>
          </w:tcPr>
          <w:p>
            <w:pPr>
              <w:widowControl/>
              <w:spacing w:line="240" w:lineRule="exact"/>
              <w:jc w:val="center"/>
              <w:rPr>
                <w:color w:val="000000"/>
                <w:kern w:val="0"/>
                <w:sz w:val="21"/>
                <w:szCs w:val="21"/>
              </w:rPr>
            </w:pPr>
            <w:r>
              <w:rPr>
                <w:color w:val="000000"/>
                <w:kern w:val="0"/>
                <w:sz w:val="21"/>
                <w:szCs w:val="21"/>
              </w:rPr>
              <w:t>分值</w:t>
            </w:r>
          </w:p>
        </w:tc>
        <w:tc>
          <w:tcPr>
            <w:tcW w:w="498" w:type="pct"/>
            <w:vAlign w:val="center"/>
          </w:tcPr>
          <w:p>
            <w:pPr>
              <w:widowControl/>
              <w:spacing w:line="240" w:lineRule="exact"/>
              <w:jc w:val="center"/>
              <w:rPr>
                <w:color w:val="000000"/>
                <w:kern w:val="0"/>
                <w:sz w:val="21"/>
                <w:szCs w:val="21"/>
              </w:rPr>
            </w:pPr>
            <w:r>
              <w:rPr>
                <w:rFonts w:hint="eastAsia"/>
                <w:color w:val="000000"/>
                <w:kern w:val="0"/>
                <w:sz w:val="21"/>
                <w:szCs w:val="21"/>
              </w:rPr>
              <w:t>自评</w:t>
            </w:r>
            <w:r>
              <w:rPr>
                <w:color w:val="000000"/>
                <w:kern w:val="0"/>
                <w:sz w:val="21"/>
                <w:szCs w:val="21"/>
              </w:rPr>
              <w:t>得分</w:t>
            </w:r>
          </w:p>
        </w:tc>
        <w:tc>
          <w:tcPr>
            <w:tcW w:w="611" w:type="pct"/>
            <w:vAlign w:val="center"/>
          </w:tcPr>
          <w:p>
            <w:pPr>
              <w:widowControl/>
              <w:spacing w:line="240" w:lineRule="exact"/>
              <w:jc w:val="left"/>
              <w:rPr>
                <w:color w:val="000000"/>
                <w:kern w:val="0"/>
                <w:sz w:val="21"/>
                <w:szCs w:val="21"/>
              </w:rPr>
            </w:pPr>
            <w:r>
              <w:rPr>
                <w:color w:val="000000"/>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89" w:type="pct"/>
            <w:vMerge w:val="continue"/>
            <w:vAlign w:val="center"/>
          </w:tcPr>
          <w:p>
            <w:pPr>
              <w:jc w:val="left"/>
              <w:rPr>
                <w:color w:val="000000"/>
                <w:kern w:val="0"/>
                <w:sz w:val="21"/>
                <w:szCs w:val="21"/>
              </w:rPr>
            </w:pPr>
          </w:p>
        </w:tc>
        <w:tc>
          <w:tcPr>
            <w:tcW w:w="482" w:type="pct"/>
            <w:gridSpan w:val="2"/>
            <w:vMerge w:val="restart"/>
            <w:vAlign w:val="center"/>
          </w:tcPr>
          <w:p>
            <w:pPr>
              <w:widowControl/>
              <w:jc w:val="center"/>
              <w:rPr>
                <w:color w:val="000000"/>
                <w:kern w:val="0"/>
                <w:sz w:val="21"/>
                <w:szCs w:val="21"/>
              </w:rPr>
            </w:pPr>
            <w:r>
              <w:rPr>
                <w:color w:val="000000"/>
                <w:kern w:val="0"/>
                <w:sz w:val="21"/>
                <w:szCs w:val="21"/>
              </w:rPr>
              <w:t>产出指标(50分)</w:t>
            </w:r>
          </w:p>
        </w:tc>
        <w:tc>
          <w:tcPr>
            <w:tcW w:w="626" w:type="pct"/>
            <w:vMerge w:val="restart"/>
            <w:vAlign w:val="center"/>
          </w:tcPr>
          <w:p>
            <w:pPr>
              <w:widowControl/>
              <w:jc w:val="center"/>
              <w:rPr>
                <w:color w:val="000000"/>
                <w:kern w:val="0"/>
                <w:sz w:val="21"/>
                <w:szCs w:val="21"/>
              </w:rPr>
            </w:pPr>
            <w:r>
              <w:rPr>
                <w:color w:val="000000"/>
                <w:kern w:val="0"/>
                <w:sz w:val="21"/>
                <w:szCs w:val="21"/>
              </w:rPr>
              <w:t>数量指标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在全市青年中评选银城青年英才</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≧10名</w:t>
            </w:r>
          </w:p>
        </w:tc>
        <w:tc>
          <w:tcPr>
            <w:tcW w:w="532" w:type="pct"/>
            <w:vAlign w:val="center"/>
          </w:tcPr>
          <w:p>
            <w:pPr>
              <w:widowControl/>
              <w:ind w:firstLine="210" w:firstLineChars="100"/>
              <w:jc w:val="left"/>
              <w:rPr>
                <w:color w:val="000000"/>
                <w:kern w:val="0"/>
                <w:sz w:val="21"/>
                <w:szCs w:val="21"/>
              </w:rPr>
            </w:pPr>
            <w:r>
              <w:rPr>
                <w:rFonts w:hint="eastAsia"/>
                <w:color w:val="000000"/>
                <w:kern w:val="0"/>
                <w:sz w:val="21"/>
                <w:szCs w:val="21"/>
              </w:rPr>
              <w:t>10名</w:t>
            </w:r>
          </w:p>
        </w:tc>
        <w:tc>
          <w:tcPr>
            <w:tcW w:w="447" w:type="pct"/>
            <w:vAlign w:val="center"/>
          </w:tcPr>
          <w:p>
            <w:pPr>
              <w:widowControl/>
              <w:jc w:val="left"/>
              <w:rPr>
                <w:color w:val="000000"/>
                <w:kern w:val="0"/>
                <w:sz w:val="21"/>
                <w:szCs w:val="21"/>
              </w:rPr>
            </w:pPr>
            <w:r>
              <w:rPr>
                <w:rFonts w:hint="eastAsia"/>
                <w:color w:val="000000"/>
                <w:kern w:val="0"/>
                <w:sz w:val="21"/>
                <w:szCs w:val="21"/>
              </w:rPr>
              <w:t>10分</w:t>
            </w:r>
          </w:p>
        </w:tc>
        <w:tc>
          <w:tcPr>
            <w:tcW w:w="498" w:type="pct"/>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continue"/>
            <w:vAlign w:val="center"/>
          </w:tcPr>
          <w:p>
            <w:pPr>
              <w:widowControl/>
              <w:jc w:val="center"/>
              <w:rPr>
                <w:color w:val="000000"/>
                <w:kern w:val="0"/>
                <w:sz w:val="21"/>
                <w:szCs w:val="21"/>
              </w:rPr>
            </w:pP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在“益阳共青团”官方微信、微博发布文章</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≧2篇</w:t>
            </w:r>
          </w:p>
        </w:tc>
        <w:tc>
          <w:tcPr>
            <w:tcW w:w="532" w:type="pct"/>
            <w:vAlign w:val="center"/>
          </w:tcPr>
          <w:p>
            <w:pPr>
              <w:widowControl/>
              <w:jc w:val="center"/>
              <w:rPr>
                <w:color w:val="000000"/>
                <w:kern w:val="0"/>
                <w:sz w:val="21"/>
                <w:szCs w:val="21"/>
              </w:rPr>
            </w:pPr>
            <w:r>
              <w:rPr>
                <w:rFonts w:hint="eastAsia"/>
                <w:color w:val="000000"/>
                <w:kern w:val="0"/>
                <w:sz w:val="21"/>
                <w:szCs w:val="21"/>
              </w:rPr>
              <w:t>3篇</w:t>
            </w:r>
          </w:p>
        </w:tc>
        <w:tc>
          <w:tcPr>
            <w:tcW w:w="447" w:type="pct"/>
            <w:vAlign w:val="center"/>
          </w:tcPr>
          <w:p>
            <w:pPr>
              <w:widowControl/>
              <w:jc w:val="left"/>
              <w:rPr>
                <w:color w:val="000000"/>
                <w:kern w:val="0"/>
                <w:sz w:val="21"/>
                <w:szCs w:val="21"/>
              </w:rPr>
            </w:pPr>
            <w:r>
              <w:rPr>
                <w:rFonts w:hint="eastAsia"/>
                <w:color w:val="000000"/>
                <w:kern w:val="0"/>
                <w:sz w:val="21"/>
                <w:szCs w:val="21"/>
              </w:rPr>
              <w:t>15分</w:t>
            </w:r>
          </w:p>
        </w:tc>
        <w:tc>
          <w:tcPr>
            <w:tcW w:w="498" w:type="pct"/>
            <w:vAlign w:val="center"/>
          </w:tcPr>
          <w:p>
            <w:pPr>
              <w:widowControl/>
              <w:jc w:val="left"/>
              <w:rPr>
                <w:color w:val="000000"/>
                <w:kern w:val="0"/>
                <w:sz w:val="21"/>
                <w:szCs w:val="21"/>
              </w:rPr>
            </w:pPr>
            <w:r>
              <w:rPr>
                <w:rFonts w:hint="eastAsia"/>
                <w:color w:val="000000"/>
                <w:kern w:val="0"/>
                <w:sz w:val="21"/>
                <w:szCs w:val="21"/>
              </w:rPr>
              <w:t>15分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质量指标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完成申报、审核、公示等</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100%</w:t>
            </w: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447" w:type="pct"/>
            <w:vAlign w:val="center"/>
          </w:tcPr>
          <w:p>
            <w:pPr>
              <w:widowControl/>
              <w:jc w:val="left"/>
              <w:rPr>
                <w:color w:val="000000"/>
                <w:kern w:val="0"/>
                <w:sz w:val="21"/>
                <w:szCs w:val="21"/>
              </w:rPr>
            </w:pPr>
            <w:r>
              <w:rPr>
                <w:rFonts w:hint="eastAsia"/>
                <w:color w:val="000000"/>
                <w:kern w:val="0"/>
                <w:sz w:val="21"/>
                <w:szCs w:val="21"/>
              </w:rPr>
              <w:t>15分</w:t>
            </w:r>
          </w:p>
        </w:tc>
        <w:tc>
          <w:tcPr>
            <w:tcW w:w="498" w:type="pct"/>
            <w:vAlign w:val="center"/>
          </w:tcPr>
          <w:p>
            <w:pPr>
              <w:widowControl/>
              <w:jc w:val="left"/>
              <w:rPr>
                <w:color w:val="000000"/>
                <w:kern w:val="0"/>
                <w:sz w:val="21"/>
                <w:szCs w:val="21"/>
              </w:rPr>
            </w:pPr>
            <w:r>
              <w:rPr>
                <w:rFonts w:hint="eastAsia"/>
                <w:color w:val="000000"/>
                <w:kern w:val="0"/>
                <w:sz w:val="21"/>
                <w:szCs w:val="21"/>
              </w:rPr>
              <w:t>15分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时效指标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成本指标</w:t>
            </w:r>
          </w:p>
        </w:tc>
        <w:tc>
          <w:tcPr>
            <w:tcW w:w="699" w:type="pct"/>
            <w:vAlign w:val="center"/>
          </w:tcPr>
          <w:p>
            <w:pPr>
              <w:widowControl/>
              <w:spacing w:line="240" w:lineRule="exact"/>
              <w:jc w:val="left"/>
              <w:rPr>
                <w:color w:val="000000"/>
                <w:kern w:val="0"/>
                <w:sz w:val="21"/>
                <w:szCs w:val="21"/>
              </w:rPr>
            </w:pPr>
            <w:r>
              <w:rPr>
                <w:rFonts w:hint="eastAsia"/>
                <w:color w:val="000000"/>
                <w:kern w:val="0"/>
                <w:sz w:val="21"/>
                <w:szCs w:val="21"/>
              </w:rPr>
              <w:t>控制在预算内</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≧100万</w:t>
            </w:r>
          </w:p>
        </w:tc>
        <w:tc>
          <w:tcPr>
            <w:tcW w:w="532" w:type="pct"/>
            <w:vAlign w:val="center"/>
          </w:tcPr>
          <w:p>
            <w:pPr>
              <w:widowControl/>
              <w:jc w:val="left"/>
              <w:rPr>
                <w:color w:val="000000"/>
                <w:kern w:val="0"/>
                <w:sz w:val="21"/>
                <w:szCs w:val="21"/>
              </w:rPr>
            </w:pPr>
            <w:r>
              <w:rPr>
                <w:rFonts w:hint="eastAsia"/>
                <w:color w:val="000000"/>
                <w:kern w:val="0"/>
                <w:sz w:val="21"/>
                <w:szCs w:val="21"/>
              </w:rPr>
              <w:t>100万</w:t>
            </w:r>
          </w:p>
        </w:tc>
        <w:tc>
          <w:tcPr>
            <w:tcW w:w="447" w:type="pct"/>
            <w:vAlign w:val="center"/>
          </w:tcPr>
          <w:p>
            <w:pPr>
              <w:widowControl/>
              <w:jc w:val="left"/>
              <w:rPr>
                <w:color w:val="000000"/>
                <w:kern w:val="0"/>
                <w:sz w:val="21"/>
                <w:szCs w:val="21"/>
              </w:rPr>
            </w:pPr>
            <w:r>
              <w:rPr>
                <w:rFonts w:hint="eastAsia"/>
                <w:color w:val="000000"/>
                <w:kern w:val="0"/>
                <w:sz w:val="21"/>
                <w:szCs w:val="21"/>
              </w:rPr>
              <w:t>10分</w:t>
            </w:r>
          </w:p>
        </w:tc>
        <w:tc>
          <w:tcPr>
            <w:tcW w:w="498" w:type="pct"/>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jc w:val="left"/>
              <w:rPr>
                <w:color w:val="000000"/>
                <w:kern w:val="0"/>
                <w:sz w:val="21"/>
                <w:szCs w:val="21"/>
              </w:rPr>
            </w:pPr>
          </w:p>
        </w:tc>
        <w:tc>
          <w:tcPr>
            <w:tcW w:w="482" w:type="pct"/>
            <w:gridSpan w:val="2"/>
            <w:vMerge w:val="restart"/>
            <w:vAlign w:val="center"/>
          </w:tcPr>
          <w:p>
            <w:pPr>
              <w:widowControl/>
              <w:jc w:val="left"/>
              <w:rPr>
                <w:color w:val="000000"/>
                <w:kern w:val="0"/>
                <w:sz w:val="21"/>
                <w:szCs w:val="21"/>
              </w:rPr>
            </w:pPr>
            <w:r>
              <w:rPr>
                <w:color w:val="000000"/>
                <w:kern w:val="0"/>
                <w:sz w:val="21"/>
                <w:szCs w:val="21"/>
              </w:rPr>
              <w:t>效益指标（30分）</w:t>
            </w:r>
          </w:p>
        </w:tc>
        <w:tc>
          <w:tcPr>
            <w:tcW w:w="626" w:type="pct"/>
            <w:vAlign w:val="center"/>
          </w:tcPr>
          <w:p>
            <w:pPr>
              <w:widowControl/>
              <w:jc w:val="center"/>
              <w:rPr>
                <w:color w:val="000000"/>
                <w:kern w:val="0"/>
                <w:sz w:val="21"/>
                <w:szCs w:val="21"/>
              </w:rPr>
            </w:pPr>
            <w:r>
              <w:rPr>
                <w:color w:val="000000"/>
                <w:kern w:val="0"/>
                <w:sz w:val="21"/>
                <w:szCs w:val="21"/>
              </w:rPr>
              <w:t>经济效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restart"/>
            <w:vAlign w:val="center"/>
          </w:tcPr>
          <w:p>
            <w:pPr>
              <w:widowControl/>
              <w:jc w:val="center"/>
              <w:rPr>
                <w:color w:val="000000"/>
                <w:kern w:val="0"/>
                <w:sz w:val="21"/>
                <w:szCs w:val="21"/>
              </w:rPr>
            </w:pPr>
            <w:r>
              <w:rPr>
                <w:color w:val="000000"/>
                <w:kern w:val="0"/>
                <w:sz w:val="21"/>
                <w:szCs w:val="21"/>
              </w:rPr>
              <w:t>社会效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充分激发人才发展活力，精准指导和培养青年人才</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color w:val="000000"/>
                <w:kern w:val="0"/>
                <w:sz w:val="21"/>
                <w:szCs w:val="21"/>
              </w:rPr>
              <w:t>100%</w:t>
            </w:r>
          </w:p>
        </w:tc>
        <w:tc>
          <w:tcPr>
            <w:tcW w:w="810" w:type="dxa"/>
            <w:vAlign w:val="center"/>
          </w:tcPr>
          <w:p>
            <w:pPr>
              <w:widowControl/>
              <w:jc w:val="left"/>
              <w:rPr>
                <w:color w:val="000000"/>
                <w:kern w:val="0"/>
                <w:sz w:val="21"/>
                <w:szCs w:val="21"/>
              </w:rPr>
            </w:pPr>
            <w:r>
              <w:rPr>
                <w:rFonts w:hint="eastAsia"/>
                <w:color w:val="000000"/>
                <w:kern w:val="0"/>
                <w:sz w:val="21"/>
                <w:szCs w:val="21"/>
              </w:rPr>
              <w:t>10分</w:t>
            </w:r>
          </w:p>
        </w:tc>
        <w:tc>
          <w:tcPr>
            <w:tcW w:w="902" w:type="dxa"/>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Merge w:val="continue"/>
            <w:vAlign w:val="center"/>
          </w:tcPr>
          <w:p>
            <w:pPr>
              <w:widowControl/>
              <w:jc w:val="center"/>
              <w:rPr>
                <w:color w:val="000000"/>
                <w:kern w:val="0"/>
                <w:sz w:val="21"/>
                <w:szCs w:val="21"/>
              </w:rPr>
            </w:pP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为全市青年人才进一步搭建成长平台</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color w:val="000000"/>
                <w:kern w:val="0"/>
                <w:sz w:val="21"/>
                <w:szCs w:val="21"/>
              </w:rPr>
              <w:t>100%</w:t>
            </w:r>
          </w:p>
        </w:tc>
        <w:tc>
          <w:tcPr>
            <w:tcW w:w="810" w:type="dxa"/>
            <w:vAlign w:val="center"/>
          </w:tcPr>
          <w:p>
            <w:pPr>
              <w:widowControl/>
              <w:jc w:val="left"/>
              <w:rPr>
                <w:color w:val="000000"/>
                <w:kern w:val="0"/>
                <w:sz w:val="21"/>
                <w:szCs w:val="21"/>
              </w:rPr>
            </w:pPr>
            <w:r>
              <w:rPr>
                <w:rFonts w:hint="eastAsia"/>
                <w:color w:val="000000"/>
                <w:kern w:val="0"/>
                <w:sz w:val="21"/>
                <w:szCs w:val="21"/>
              </w:rPr>
              <w:t>10分</w:t>
            </w:r>
          </w:p>
        </w:tc>
        <w:tc>
          <w:tcPr>
            <w:tcW w:w="902" w:type="dxa"/>
            <w:vAlign w:val="center"/>
          </w:tcPr>
          <w:p>
            <w:pPr>
              <w:widowControl/>
              <w:jc w:val="left"/>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89" w:type="pct"/>
            <w:vMerge w:val="continue"/>
            <w:vAlign w:val="center"/>
          </w:tcPr>
          <w:p>
            <w:pPr>
              <w:jc w:val="left"/>
              <w:rPr>
                <w:color w:val="000000"/>
                <w:kern w:val="0"/>
                <w:sz w:val="21"/>
                <w:szCs w:val="21"/>
              </w:rPr>
            </w:pPr>
          </w:p>
        </w:tc>
        <w:tc>
          <w:tcPr>
            <w:tcW w:w="482" w:type="pct"/>
            <w:gridSpan w:val="2"/>
            <w:vMerge w:val="continue"/>
            <w:vAlign w:val="center"/>
          </w:tcPr>
          <w:p>
            <w:pPr>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生态效</w:t>
            </w:r>
          </w:p>
          <w:p>
            <w:pPr>
              <w:widowControl/>
              <w:jc w:val="center"/>
              <w:rPr>
                <w:color w:val="000000"/>
                <w:kern w:val="0"/>
                <w:sz w:val="21"/>
                <w:szCs w:val="21"/>
              </w:rPr>
            </w:pPr>
            <w:r>
              <w:rPr>
                <w:color w:val="000000"/>
                <w:kern w:val="0"/>
                <w:sz w:val="21"/>
                <w:szCs w:val="21"/>
              </w:rPr>
              <w:t>益指标</w:t>
            </w:r>
          </w:p>
        </w:tc>
        <w:tc>
          <w:tcPr>
            <w:tcW w:w="699" w:type="pct"/>
            <w:vAlign w:val="center"/>
          </w:tcPr>
          <w:p>
            <w:pPr>
              <w:widowControl/>
              <w:spacing w:line="240" w:lineRule="exact"/>
              <w:jc w:val="left"/>
              <w:rPr>
                <w:color w:val="000000"/>
                <w:kern w:val="0"/>
                <w:sz w:val="21"/>
                <w:szCs w:val="21"/>
              </w:rPr>
            </w:pPr>
          </w:p>
        </w:tc>
        <w:tc>
          <w:tcPr>
            <w:tcW w:w="513" w:type="pct"/>
            <w:vAlign w:val="center"/>
          </w:tcPr>
          <w:p>
            <w:pPr>
              <w:widowControl/>
              <w:jc w:val="left"/>
              <w:rPr>
                <w:color w:val="000000"/>
                <w:kern w:val="0"/>
                <w:sz w:val="21"/>
                <w:szCs w:val="21"/>
              </w:rPr>
            </w:pPr>
            <w:r>
              <w:rPr>
                <w:color w:val="000000"/>
                <w:kern w:val="0"/>
                <w:sz w:val="21"/>
                <w:szCs w:val="21"/>
              </w:rPr>
              <w:t>　</w:t>
            </w:r>
          </w:p>
        </w:tc>
        <w:tc>
          <w:tcPr>
            <w:tcW w:w="532" w:type="pct"/>
            <w:vAlign w:val="center"/>
          </w:tcPr>
          <w:p>
            <w:pPr>
              <w:widowControl/>
              <w:jc w:val="left"/>
              <w:rPr>
                <w:color w:val="000000"/>
                <w:kern w:val="0"/>
                <w:sz w:val="21"/>
                <w:szCs w:val="21"/>
              </w:rPr>
            </w:pPr>
            <w:r>
              <w:rPr>
                <w:color w:val="000000"/>
                <w:kern w:val="0"/>
                <w:sz w:val="21"/>
                <w:szCs w:val="21"/>
              </w:rPr>
              <w:t>　</w:t>
            </w:r>
          </w:p>
        </w:tc>
        <w:tc>
          <w:tcPr>
            <w:tcW w:w="447" w:type="pct"/>
            <w:vAlign w:val="center"/>
          </w:tcPr>
          <w:p>
            <w:pPr>
              <w:widowControl/>
              <w:jc w:val="left"/>
              <w:rPr>
                <w:color w:val="000000"/>
                <w:kern w:val="0"/>
                <w:sz w:val="21"/>
                <w:szCs w:val="21"/>
              </w:rPr>
            </w:pPr>
            <w:r>
              <w:rPr>
                <w:color w:val="000000"/>
                <w:kern w:val="0"/>
                <w:sz w:val="21"/>
                <w:szCs w:val="21"/>
              </w:rPr>
              <w:t>　</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9" w:type="pct"/>
            <w:vMerge w:val="continue"/>
            <w:vAlign w:val="center"/>
          </w:tcPr>
          <w:p>
            <w:pPr>
              <w:widowControl/>
              <w:jc w:val="center"/>
              <w:rPr>
                <w:color w:val="000000"/>
                <w:kern w:val="0"/>
                <w:sz w:val="21"/>
                <w:szCs w:val="21"/>
              </w:rPr>
            </w:pPr>
          </w:p>
        </w:tc>
        <w:tc>
          <w:tcPr>
            <w:tcW w:w="482" w:type="pct"/>
            <w:gridSpan w:val="2"/>
            <w:vMerge w:val="continue"/>
            <w:vAlign w:val="center"/>
          </w:tcPr>
          <w:p>
            <w:pPr>
              <w:widowControl/>
              <w:jc w:val="left"/>
              <w:rPr>
                <w:color w:val="000000"/>
                <w:kern w:val="0"/>
                <w:sz w:val="21"/>
                <w:szCs w:val="21"/>
              </w:rPr>
            </w:pPr>
          </w:p>
        </w:tc>
        <w:tc>
          <w:tcPr>
            <w:tcW w:w="626" w:type="pct"/>
            <w:vAlign w:val="center"/>
          </w:tcPr>
          <w:p>
            <w:pPr>
              <w:widowControl/>
              <w:jc w:val="center"/>
              <w:rPr>
                <w:color w:val="000000"/>
                <w:kern w:val="0"/>
                <w:sz w:val="21"/>
                <w:szCs w:val="21"/>
              </w:rPr>
            </w:pPr>
            <w:r>
              <w:rPr>
                <w:color w:val="000000"/>
                <w:kern w:val="0"/>
                <w:sz w:val="21"/>
                <w:szCs w:val="21"/>
              </w:rPr>
              <w:t>可持续影响指标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人才培养的延续性和可行性，提高益阳市青年人才在全省范围内的竞争力</w:t>
            </w:r>
          </w:p>
        </w:tc>
        <w:tc>
          <w:tcPr>
            <w:tcW w:w="513"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532" w:type="pct"/>
            <w:vAlign w:val="center"/>
          </w:tcPr>
          <w:p>
            <w:pPr>
              <w:widowControl/>
              <w:jc w:val="center"/>
              <w:rPr>
                <w:color w:val="000000"/>
                <w:kern w:val="0"/>
                <w:sz w:val="21"/>
                <w:szCs w:val="21"/>
              </w:rPr>
            </w:pPr>
            <w:r>
              <w:rPr>
                <w:rFonts w:hint="eastAsia" w:ascii="Times New Roman" w:hAnsi="Times New Roman"/>
                <w:color w:val="000000"/>
                <w:kern w:val="0"/>
                <w:sz w:val="22"/>
              </w:rPr>
              <w:t>100%</w:t>
            </w:r>
          </w:p>
        </w:tc>
        <w:tc>
          <w:tcPr>
            <w:tcW w:w="810" w:type="dxa"/>
            <w:vAlign w:val="center"/>
          </w:tcPr>
          <w:p>
            <w:pPr>
              <w:widowControl/>
              <w:jc w:val="center"/>
              <w:rPr>
                <w:color w:val="000000"/>
                <w:kern w:val="0"/>
                <w:sz w:val="21"/>
                <w:szCs w:val="21"/>
              </w:rPr>
            </w:pPr>
            <w:r>
              <w:rPr>
                <w:rFonts w:hint="eastAsia"/>
                <w:color w:val="000000"/>
                <w:kern w:val="0"/>
                <w:sz w:val="21"/>
                <w:szCs w:val="21"/>
              </w:rPr>
              <w:t>10分</w:t>
            </w:r>
          </w:p>
        </w:tc>
        <w:tc>
          <w:tcPr>
            <w:tcW w:w="902" w:type="dxa"/>
            <w:vAlign w:val="center"/>
          </w:tcPr>
          <w:p>
            <w:pPr>
              <w:widowControl/>
              <w:jc w:val="center"/>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vAlign w:val="center"/>
          </w:tcPr>
          <w:p>
            <w:pPr>
              <w:jc w:val="left"/>
              <w:rPr>
                <w:color w:val="000000"/>
                <w:kern w:val="0"/>
                <w:sz w:val="21"/>
                <w:szCs w:val="21"/>
              </w:rPr>
            </w:pPr>
          </w:p>
        </w:tc>
        <w:tc>
          <w:tcPr>
            <w:tcW w:w="482" w:type="pct"/>
            <w:gridSpan w:val="2"/>
            <w:vAlign w:val="center"/>
          </w:tcPr>
          <w:p>
            <w:pPr>
              <w:widowControl/>
              <w:jc w:val="center"/>
              <w:rPr>
                <w:color w:val="000000"/>
                <w:kern w:val="0"/>
                <w:sz w:val="21"/>
                <w:szCs w:val="21"/>
              </w:rPr>
            </w:pPr>
            <w:r>
              <w:rPr>
                <w:color w:val="000000"/>
                <w:kern w:val="0"/>
                <w:sz w:val="21"/>
                <w:szCs w:val="21"/>
              </w:rPr>
              <w:t>满意度</w:t>
            </w:r>
          </w:p>
          <w:p>
            <w:pPr>
              <w:widowControl/>
              <w:jc w:val="center"/>
              <w:rPr>
                <w:color w:val="000000"/>
                <w:kern w:val="0"/>
                <w:sz w:val="21"/>
                <w:szCs w:val="21"/>
              </w:rPr>
            </w:pPr>
            <w:r>
              <w:rPr>
                <w:color w:val="000000"/>
                <w:kern w:val="0"/>
                <w:sz w:val="21"/>
                <w:szCs w:val="21"/>
              </w:rPr>
              <w:t>指标</w:t>
            </w:r>
          </w:p>
          <w:p>
            <w:pPr>
              <w:widowControl/>
              <w:rPr>
                <w:color w:val="000000"/>
                <w:kern w:val="0"/>
                <w:sz w:val="21"/>
                <w:szCs w:val="21"/>
              </w:rPr>
            </w:pPr>
            <w:r>
              <w:rPr>
                <w:rFonts w:hint="eastAsia"/>
                <w:color w:val="000000"/>
                <w:kern w:val="0"/>
                <w:sz w:val="21"/>
                <w:szCs w:val="21"/>
              </w:rPr>
              <w:t>(</w:t>
            </w:r>
            <w:r>
              <w:rPr>
                <w:color w:val="000000"/>
                <w:kern w:val="0"/>
                <w:sz w:val="21"/>
                <w:szCs w:val="21"/>
              </w:rPr>
              <w:t>10分</w:t>
            </w:r>
            <w:r>
              <w:rPr>
                <w:rFonts w:hint="eastAsia"/>
                <w:color w:val="000000"/>
                <w:kern w:val="0"/>
                <w:sz w:val="21"/>
                <w:szCs w:val="21"/>
              </w:rPr>
              <w:t>)</w:t>
            </w:r>
          </w:p>
        </w:tc>
        <w:tc>
          <w:tcPr>
            <w:tcW w:w="626" w:type="pct"/>
            <w:vAlign w:val="center"/>
          </w:tcPr>
          <w:p>
            <w:pPr>
              <w:widowControl/>
              <w:jc w:val="center"/>
              <w:rPr>
                <w:color w:val="000000"/>
                <w:kern w:val="0"/>
                <w:sz w:val="21"/>
                <w:szCs w:val="21"/>
              </w:rPr>
            </w:pPr>
            <w:r>
              <w:rPr>
                <w:color w:val="000000"/>
                <w:kern w:val="0"/>
                <w:sz w:val="21"/>
                <w:szCs w:val="21"/>
              </w:rPr>
              <w:t>服务对象满意度指标</w:t>
            </w:r>
          </w:p>
        </w:tc>
        <w:tc>
          <w:tcPr>
            <w:tcW w:w="699" w:type="pct"/>
            <w:vAlign w:val="center"/>
          </w:tcPr>
          <w:p>
            <w:pPr>
              <w:widowControl/>
              <w:spacing w:line="240" w:lineRule="exact"/>
              <w:jc w:val="left"/>
              <w:rPr>
                <w:color w:val="000000"/>
                <w:kern w:val="0"/>
                <w:sz w:val="21"/>
                <w:szCs w:val="21"/>
              </w:rPr>
            </w:pPr>
            <w:r>
              <w:rPr>
                <w:rFonts w:hint="eastAsia" w:ascii="Times New Roman" w:hAnsi="Times New Roman"/>
                <w:color w:val="000000"/>
                <w:kern w:val="0"/>
                <w:sz w:val="22"/>
              </w:rPr>
              <w:t>服务全市青年满意度</w:t>
            </w:r>
          </w:p>
        </w:tc>
        <w:tc>
          <w:tcPr>
            <w:tcW w:w="513" w:type="pct"/>
            <w:vAlign w:val="center"/>
          </w:tcPr>
          <w:p>
            <w:pPr>
              <w:widowControl/>
              <w:jc w:val="left"/>
              <w:rPr>
                <w:color w:val="000000"/>
                <w:kern w:val="0"/>
                <w:sz w:val="21"/>
                <w:szCs w:val="21"/>
              </w:rPr>
            </w:pPr>
            <w:r>
              <w:rPr>
                <w:rFonts w:hint="eastAsia" w:ascii="Times New Roman" w:hAnsi="Times New Roman"/>
                <w:color w:val="000000"/>
                <w:kern w:val="0"/>
                <w:sz w:val="22"/>
              </w:rPr>
              <w:t>≧</w:t>
            </w:r>
            <w:r>
              <w:rPr>
                <w:color w:val="000000"/>
                <w:kern w:val="0"/>
                <w:sz w:val="21"/>
                <w:szCs w:val="21"/>
              </w:rPr>
              <w:t>　</w:t>
            </w:r>
            <w:r>
              <w:rPr>
                <w:rFonts w:hint="eastAsia" w:ascii="Times New Roman" w:hAnsi="Times New Roman"/>
                <w:color w:val="000000"/>
                <w:kern w:val="0"/>
                <w:sz w:val="22"/>
              </w:rPr>
              <w:t>95%</w:t>
            </w:r>
          </w:p>
        </w:tc>
        <w:tc>
          <w:tcPr>
            <w:tcW w:w="532" w:type="pct"/>
            <w:vAlign w:val="center"/>
          </w:tcPr>
          <w:p>
            <w:pPr>
              <w:widowControl/>
              <w:jc w:val="left"/>
              <w:rPr>
                <w:color w:val="000000"/>
                <w:kern w:val="0"/>
                <w:sz w:val="21"/>
                <w:szCs w:val="21"/>
              </w:rPr>
            </w:pPr>
            <w:r>
              <w:rPr>
                <w:color w:val="000000"/>
                <w:kern w:val="0"/>
                <w:sz w:val="21"/>
                <w:szCs w:val="21"/>
              </w:rPr>
              <w:t>　</w:t>
            </w:r>
            <w:r>
              <w:rPr>
                <w:rFonts w:hint="eastAsia"/>
                <w:color w:val="000000"/>
                <w:kern w:val="0"/>
                <w:sz w:val="21"/>
                <w:szCs w:val="21"/>
              </w:rPr>
              <w:t>95%</w:t>
            </w:r>
          </w:p>
        </w:tc>
        <w:tc>
          <w:tcPr>
            <w:tcW w:w="810" w:type="dxa"/>
            <w:vAlign w:val="center"/>
          </w:tcPr>
          <w:p>
            <w:pPr>
              <w:widowControl/>
              <w:jc w:val="center"/>
              <w:rPr>
                <w:color w:val="000000"/>
                <w:kern w:val="0"/>
                <w:sz w:val="21"/>
                <w:szCs w:val="21"/>
              </w:rPr>
            </w:pPr>
            <w:r>
              <w:rPr>
                <w:rFonts w:hint="eastAsia"/>
                <w:color w:val="000000"/>
                <w:kern w:val="0"/>
                <w:sz w:val="21"/>
                <w:szCs w:val="21"/>
              </w:rPr>
              <w:t>10分</w:t>
            </w:r>
          </w:p>
        </w:tc>
        <w:tc>
          <w:tcPr>
            <w:tcW w:w="902" w:type="dxa"/>
            <w:vAlign w:val="center"/>
          </w:tcPr>
          <w:p>
            <w:pPr>
              <w:widowControl/>
              <w:jc w:val="center"/>
              <w:rPr>
                <w:color w:val="000000"/>
                <w:kern w:val="0"/>
                <w:sz w:val="21"/>
                <w:szCs w:val="21"/>
              </w:rPr>
            </w:pPr>
            <w:r>
              <w:rPr>
                <w:rFonts w:hint="eastAsia"/>
                <w:color w:val="000000"/>
                <w:kern w:val="0"/>
                <w:sz w:val="21"/>
                <w:szCs w:val="21"/>
              </w:rPr>
              <w:t>10分</w:t>
            </w:r>
          </w:p>
        </w:tc>
        <w:tc>
          <w:tcPr>
            <w:tcW w:w="611" w:type="pct"/>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43" w:type="pct"/>
            <w:gridSpan w:val="7"/>
            <w:vAlign w:val="center"/>
          </w:tcPr>
          <w:p>
            <w:pPr>
              <w:widowControl/>
              <w:jc w:val="center"/>
              <w:rPr>
                <w:color w:val="000000"/>
                <w:kern w:val="0"/>
                <w:sz w:val="21"/>
                <w:szCs w:val="21"/>
              </w:rPr>
            </w:pPr>
            <w:r>
              <w:rPr>
                <w:color w:val="000000"/>
                <w:kern w:val="0"/>
                <w:sz w:val="21"/>
                <w:szCs w:val="21"/>
              </w:rPr>
              <w:t>总分</w:t>
            </w:r>
          </w:p>
        </w:tc>
        <w:tc>
          <w:tcPr>
            <w:tcW w:w="447" w:type="pct"/>
            <w:vAlign w:val="center"/>
          </w:tcPr>
          <w:p>
            <w:pPr>
              <w:widowControl/>
              <w:jc w:val="center"/>
              <w:rPr>
                <w:color w:val="000000"/>
                <w:kern w:val="0"/>
                <w:sz w:val="21"/>
                <w:szCs w:val="21"/>
              </w:rPr>
            </w:pPr>
            <w:r>
              <w:rPr>
                <w:color w:val="000000"/>
                <w:kern w:val="0"/>
                <w:sz w:val="21"/>
                <w:szCs w:val="21"/>
              </w:rPr>
              <w:t>100</w:t>
            </w:r>
          </w:p>
        </w:tc>
        <w:tc>
          <w:tcPr>
            <w:tcW w:w="498" w:type="pct"/>
            <w:vAlign w:val="center"/>
          </w:tcPr>
          <w:p>
            <w:pPr>
              <w:widowControl/>
              <w:jc w:val="left"/>
              <w:rPr>
                <w:color w:val="000000"/>
                <w:kern w:val="0"/>
                <w:sz w:val="21"/>
                <w:szCs w:val="21"/>
              </w:rPr>
            </w:pPr>
            <w:r>
              <w:rPr>
                <w:color w:val="000000"/>
                <w:kern w:val="0"/>
                <w:sz w:val="21"/>
                <w:szCs w:val="21"/>
              </w:rPr>
              <w:t>　</w:t>
            </w:r>
          </w:p>
        </w:tc>
        <w:tc>
          <w:tcPr>
            <w:tcW w:w="611" w:type="pct"/>
            <w:vAlign w:val="center"/>
          </w:tcPr>
          <w:p>
            <w:pPr>
              <w:widowControl/>
              <w:jc w:val="left"/>
              <w:rPr>
                <w:color w:val="000000"/>
                <w:kern w:val="0"/>
                <w:sz w:val="21"/>
                <w:szCs w:val="21"/>
              </w:rPr>
            </w:pPr>
            <w:r>
              <w:rPr>
                <w:color w:val="000000"/>
                <w:kern w:val="0"/>
                <w:sz w:val="21"/>
                <w:szCs w:val="21"/>
              </w:rPr>
              <w:t>　</w:t>
            </w:r>
          </w:p>
        </w:tc>
      </w:tr>
    </w:tbl>
    <w:p>
      <w:pPr>
        <w:widowControl/>
        <w:spacing w:line="240" w:lineRule="exact"/>
        <w:jc w:val="left"/>
        <w:rPr>
          <w:rFonts w:ascii="Times New Roman" w:hAnsi="Times New Roman"/>
          <w:kern w:val="0"/>
          <w:sz w:val="21"/>
          <w:szCs w:val="21"/>
        </w:rPr>
      </w:pPr>
      <w:r>
        <w:rPr>
          <w:rFonts w:hint="eastAsia"/>
          <w:kern w:val="0"/>
          <w:sz w:val="22"/>
        </w:rPr>
        <w:t>备注：每个一级项目支出一张表。如：业务工作经费，运行维护经费，其他类资金</w:t>
      </w:r>
      <w:r>
        <w:rPr>
          <w:kern w:val="0"/>
          <w:sz w:val="22"/>
        </w:rPr>
        <w:t>...</w:t>
      </w:r>
      <w:r>
        <w:rPr>
          <w:rFonts w:hint="eastAsia"/>
          <w:kern w:val="0"/>
          <w:sz w:val="22"/>
        </w:rPr>
        <w:t>各一张表。</w:t>
      </w:r>
    </w:p>
    <w:p>
      <w:pPr>
        <w:pStyle w:val="4"/>
        <w:spacing w:line="600" w:lineRule="exact"/>
        <w:rPr>
          <w:rFonts w:ascii="Times New Roman" w:hAnsi="Times New Roman"/>
          <w:kern w:val="0"/>
          <w:sz w:val="22"/>
          <w:szCs w:val="24"/>
        </w:rPr>
      </w:pPr>
      <w:r>
        <w:rPr>
          <w:rFonts w:ascii="Times New Roman" w:hAnsi="Times New Roman"/>
          <w:kern w:val="0"/>
          <w:sz w:val="21"/>
          <w:szCs w:val="21"/>
        </w:rPr>
        <w:t>填表人：</w:t>
      </w:r>
      <w:r>
        <w:rPr>
          <w:rFonts w:hint="eastAsia" w:ascii="Times New Roman" w:hAnsi="Times New Roman"/>
          <w:kern w:val="0"/>
          <w:sz w:val="21"/>
          <w:szCs w:val="21"/>
        </w:rPr>
        <w:t xml:space="preserve">方亚龙  </w:t>
      </w:r>
      <w:r>
        <w:rPr>
          <w:rFonts w:ascii="Times New Roman" w:hAnsi="Times New Roman"/>
          <w:kern w:val="0"/>
          <w:sz w:val="21"/>
          <w:szCs w:val="21"/>
        </w:rPr>
        <w:t>填报日期：</w:t>
      </w:r>
      <w:r>
        <w:rPr>
          <w:rFonts w:hint="eastAsia" w:ascii="Times New Roman" w:hAnsi="Times New Roman"/>
          <w:kern w:val="0"/>
          <w:sz w:val="21"/>
          <w:szCs w:val="21"/>
        </w:rPr>
        <w:t xml:space="preserve">2025.4.22 </w:t>
      </w:r>
      <w:r>
        <w:rPr>
          <w:rFonts w:ascii="Times New Roman" w:hAnsi="Times New Roman"/>
          <w:kern w:val="0"/>
          <w:sz w:val="21"/>
          <w:szCs w:val="21"/>
        </w:rPr>
        <w:t xml:space="preserve">   联系电话：</w:t>
      </w:r>
      <w:r>
        <w:rPr>
          <w:rFonts w:hint="eastAsia" w:ascii="Times New Roman" w:hAnsi="Times New Roman"/>
          <w:kern w:val="0"/>
          <w:sz w:val="21"/>
          <w:szCs w:val="21"/>
        </w:rPr>
        <w:t xml:space="preserve">17363769278 </w:t>
      </w:r>
      <w:r>
        <w:rPr>
          <w:rFonts w:ascii="Times New Roman" w:hAnsi="Times New Roman"/>
          <w:kern w:val="0"/>
          <w:sz w:val="21"/>
          <w:szCs w:val="21"/>
        </w:rPr>
        <w:t xml:space="preserve"> 单位负责人签字：</w:t>
      </w:r>
    </w:p>
    <w:p>
      <w:pPr>
        <w:pStyle w:val="4"/>
        <w:spacing w:line="600" w:lineRule="exact"/>
        <w:rPr>
          <w:rFonts w:ascii="Times New Roman" w:hAnsi="Times New Roman"/>
          <w:kern w:val="0"/>
          <w:sz w:val="22"/>
          <w:szCs w:val="24"/>
        </w:rPr>
      </w:pPr>
    </w:p>
    <w:sectPr>
      <w:footerReference r:id="rId4" w:type="default"/>
      <w:pgSz w:w="11906" w:h="16838"/>
      <w:pgMar w:top="1701" w:right="1531" w:bottom="1531" w:left="1531" w:header="851" w:footer="113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7875"/>
    </w:sdtPr>
    <w:sdtEndPr>
      <w:rPr>
        <w:rFonts w:hint="eastAsia" w:ascii="仿宋_GB2312"/>
        <w:sz w:val="28"/>
        <w:szCs w:val="28"/>
      </w:rPr>
    </w:sdtEndPr>
    <w:sdtContent>
      <w:p>
        <w:pPr>
          <w:pStyle w:val="6"/>
          <w:jc w:val="center"/>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15 -</w:t>
        </w:r>
        <w:r>
          <w:rPr>
            <w:rFonts w:hint="eastAsia" w:ascii="仿宋_GB2312"/>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AD8CF"/>
    <w:multiLevelType w:val="singleLevel"/>
    <w:tmpl w:val="3E3AD8CF"/>
    <w:lvl w:ilvl="0" w:tentative="0">
      <w:start w:val="3"/>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U5ZjUwNzQ5ZDY2NWZhZDE1MDI1NjFmMWFkYTViNGIifQ=="/>
  </w:docVars>
  <w:rsids>
    <w:rsidRoot w:val="521C7659"/>
    <w:rsid w:val="00062EE3"/>
    <w:rsid w:val="00073E60"/>
    <w:rsid w:val="00175505"/>
    <w:rsid w:val="001E072F"/>
    <w:rsid w:val="002140E8"/>
    <w:rsid w:val="002432AC"/>
    <w:rsid w:val="00282283"/>
    <w:rsid w:val="00347DEE"/>
    <w:rsid w:val="00404C4F"/>
    <w:rsid w:val="0042063D"/>
    <w:rsid w:val="00433C76"/>
    <w:rsid w:val="004D3411"/>
    <w:rsid w:val="0058458B"/>
    <w:rsid w:val="00592FBB"/>
    <w:rsid w:val="005C7D06"/>
    <w:rsid w:val="0067526B"/>
    <w:rsid w:val="006E0C1B"/>
    <w:rsid w:val="006E7263"/>
    <w:rsid w:val="007036BA"/>
    <w:rsid w:val="00744025"/>
    <w:rsid w:val="007672EF"/>
    <w:rsid w:val="00817806"/>
    <w:rsid w:val="00827684"/>
    <w:rsid w:val="00894B10"/>
    <w:rsid w:val="008A3D27"/>
    <w:rsid w:val="008D7278"/>
    <w:rsid w:val="00983F66"/>
    <w:rsid w:val="009A5262"/>
    <w:rsid w:val="009C2B79"/>
    <w:rsid w:val="009D1908"/>
    <w:rsid w:val="00A25F0D"/>
    <w:rsid w:val="00A62369"/>
    <w:rsid w:val="00A95FF2"/>
    <w:rsid w:val="00AB520C"/>
    <w:rsid w:val="00B016B6"/>
    <w:rsid w:val="00B62E70"/>
    <w:rsid w:val="00B93C13"/>
    <w:rsid w:val="00C64754"/>
    <w:rsid w:val="00D50510"/>
    <w:rsid w:val="00D8217F"/>
    <w:rsid w:val="00D96F19"/>
    <w:rsid w:val="00DF62D9"/>
    <w:rsid w:val="00F0367F"/>
    <w:rsid w:val="00F82FA4"/>
    <w:rsid w:val="00FE4FF9"/>
    <w:rsid w:val="025731AD"/>
    <w:rsid w:val="02776F61"/>
    <w:rsid w:val="030F6088"/>
    <w:rsid w:val="03345AEF"/>
    <w:rsid w:val="035153F6"/>
    <w:rsid w:val="035E2B6B"/>
    <w:rsid w:val="03FB660C"/>
    <w:rsid w:val="04E377CC"/>
    <w:rsid w:val="061439B5"/>
    <w:rsid w:val="06180CE1"/>
    <w:rsid w:val="062C71BB"/>
    <w:rsid w:val="08147C9D"/>
    <w:rsid w:val="08395955"/>
    <w:rsid w:val="09324F45"/>
    <w:rsid w:val="095B7DAE"/>
    <w:rsid w:val="0A4D69DD"/>
    <w:rsid w:val="0AE37AB5"/>
    <w:rsid w:val="0B057D70"/>
    <w:rsid w:val="0B1F514E"/>
    <w:rsid w:val="0C5B757D"/>
    <w:rsid w:val="0C8F3D96"/>
    <w:rsid w:val="0DE14AC5"/>
    <w:rsid w:val="0E0E518E"/>
    <w:rsid w:val="0E43308A"/>
    <w:rsid w:val="0E460DCC"/>
    <w:rsid w:val="0E5A5792"/>
    <w:rsid w:val="0E72661B"/>
    <w:rsid w:val="0E890027"/>
    <w:rsid w:val="0EAB4855"/>
    <w:rsid w:val="0EBA4947"/>
    <w:rsid w:val="0EFE3EAD"/>
    <w:rsid w:val="0F182768"/>
    <w:rsid w:val="0F3C3CE5"/>
    <w:rsid w:val="0F7F4595"/>
    <w:rsid w:val="0FCD238F"/>
    <w:rsid w:val="10240C99"/>
    <w:rsid w:val="103C4234"/>
    <w:rsid w:val="108D2CE2"/>
    <w:rsid w:val="130E71D3"/>
    <w:rsid w:val="13203999"/>
    <w:rsid w:val="132C63C0"/>
    <w:rsid w:val="133322AB"/>
    <w:rsid w:val="13611746"/>
    <w:rsid w:val="13C6145C"/>
    <w:rsid w:val="13CA6C55"/>
    <w:rsid w:val="13F40628"/>
    <w:rsid w:val="1448764C"/>
    <w:rsid w:val="15485AA9"/>
    <w:rsid w:val="163D0D06"/>
    <w:rsid w:val="16586527"/>
    <w:rsid w:val="166922F2"/>
    <w:rsid w:val="16AB2114"/>
    <w:rsid w:val="17030313"/>
    <w:rsid w:val="173F1101"/>
    <w:rsid w:val="178A1D29"/>
    <w:rsid w:val="17DB6D98"/>
    <w:rsid w:val="190C2CA4"/>
    <w:rsid w:val="19AC33FE"/>
    <w:rsid w:val="19EE00A5"/>
    <w:rsid w:val="1A7A7E33"/>
    <w:rsid w:val="1C403F9F"/>
    <w:rsid w:val="1C506DBF"/>
    <w:rsid w:val="1CB515F6"/>
    <w:rsid w:val="1DE0617B"/>
    <w:rsid w:val="1E0A6639"/>
    <w:rsid w:val="1E696B3C"/>
    <w:rsid w:val="1E9E60BA"/>
    <w:rsid w:val="1EB55259"/>
    <w:rsid w:val="1EDE3B19"/>
    <w:rsid w:val="1F4A4AF8"/>
    <w:rsid w:val="1F7F3AB5"/>
    <w:rsid w:val="1F881FAD"/>
    <w:rsid w:val="1FDC50EC"/>
    <w:rsid w:val="1FFAAE5B"/>
    <w:rsid w:val="20164A2B"/>
    <w:rsid w:val="20234AC9"/>
    <w:rsid w:val="20F018E1"/>
    <w:rsid w:val="21773A81"/>
    <w:rsid w:val="22193627"/>
    <w:rsid w:val="22604E5E"/>
    <w:rsid w:val="227B6BA3"/>
    <w:rsid w:val="22E91FFA"/>
    <w:rsid w:val="23295AD1"/>
    <w:rsid w:val="239F70B5"/>
    <w:rsid w:val="23F6123C"/>
    <w:rsid w:val="24480FA2"/>
    <w:rsid w:val="263B7010"/>
    <w:rsid w:val="268F78D3"/>
    <w:rsid w:val="26F33261"/>
    <w:rsid w:val="26F92A28"/>
    <w:rsid w:val="27940A30"/>
    <w:rsid w:val="27962024"/>
    <w:rsid w:val="284A1C4B"/>
    <w:rsid w:val="2AB477DC"/>
    <w:rsid w:val="2BA94A1C"/>
    <w:rsid w:val="2BCA2D9E"/>
    <w:rsid w:val="2BFB588A"/>
    <w:rsid w:val="2C2C73FB"/>
    <w:rsid w:val="2C385D6B"/>
    <w:rsid w:val="2C387B4E"/>
    <w:rsid w:val="2C884632"/>
    <w:rsid w:val="2CC07824"/>
    <w:rsid w:val="2D205237"/>
    <w:rsid w:val="2D314860"/>
    <w:rsid w:val="2E4432E7"/>
    <w:rsid w:val="2E861045"/>
    <w:rsid w:val="2EDD67D0"/>
    <w:rsid w:val="2F236894"/>
    <w:rsid w:val="2F3E547B"/>
    <w:rsid w:val="2FC367EB"/>
    <w:rsid w:val="30564A47"/>
    <w:rsid w:val="30CB5A1E"/>
    <w:rsid w:val="31D00FAF"/>
    <w:rsid w:val="32786EF6"/>
    <w:rsid w:val="328009C7"/>
    <w:rsid w:val="32925427"/>
    <w:rsid w:val="32FC4F0C"/>
    <w:rsid w:val="332B3DDB"/>
    <w:rsid w:val="33993163"/>
    <w:rsid w:val="361C453F"/>
    <w:rsid w:val="368D6CE8"/>
    <w:rsid w:val="36C56777"/>
    <w:rsid w:val="371239CE"/>
    <w:rsid w:val="37665E5D"/>
    <w:rsid w:val="37847F8D"/>
    <w:rsid w:val="37EB7526"/>
    <w:rsid w:val="38123949"/>
    <w:rsid w:val="383218F5"/>
    <w:rsid w:val="38F45D06"/>
    <w:rsid w:val="39C01365"/>
    <w:rsid w:val="3A267238"/>
    <w:rsid w:val="3AA54601"/>
    <w:rsid w:val="3BBA0580"/>
    <w:rsid w:val="3BF79F17"/>
    <w:rsid w:val="3C7050E2"/>
    <w:rsid w:val="3DA96908"/>
    <w:rsid w:val="3DC12C0B"/>
    <w:rsid w:val="3DD2043D"/>
    <w:rsid w:val="3DDB6201"/>
    <w:rsid w:val="3EE30F63"/>
    <w:rsid w:val="3F5C0140"/>
    <w:rsid w:val="3F736673"/>
    <w:rsid w:val="3FCA4B09"/>
    <w:rsid w:val="3FDD053E"/>
    <w:rsid w:val="40105428"/>
    <w:rsid w:val="40236540"/>
    <w:rsid w:val="4027701D"/>
    <w:rsid w:val="40C63523"/>
    <w:rsid w:val="41173882"/>
    <w:rsid w:val="41255AE7"/>
    <w:rsid w:val="42D55C9F"/>
    <w:rsid w:val="42E663A7"/>
    <w:rsid w:val="43770533"/>
    <w:rsid w:val="43B7531D"/>
    <w:rsid w:val="43FD5B76"/>
    <w:rsid w:val="44820976"/>
    <w:rsid w:val="4541586E"/>
    <w:rsid w:val="46207231"/>
    <w:rsid w:val="4637066F"/>
    <w:rsid w:val="46875502"/>
    <w:rsid w:val="46AA6AF6"/>
    <w:rsid w:val="47F54BE3"/>
    <w:rsid w:val="480B5DF9"/>
    <w:rsid w:val="48453446"/>
    <w:rsid w:val="492B6619"/>
    <w:rsid w:val="495913D8"/>
    <w:rsid w:val="49820EC2"/>
    <w:rsid w:val="49E669E4"/>
    <w:rsid w:val="4AAE7501"/>
    <w:rsid w:val="4AD02D33"/>
    <w:rsid w:val="4AD33444"/>
    <w:rsid w:val="4B885BB2"/>
    <w:rsid w:val="4D1D271C"/>
    <w:rsid w:val="4D744559"/>
    <w:rsid w:val="4DAC5AD3"/>
    <w:rsid w:val="4DD87B12"/>
    <w:rsid w:val="4E01395D"/>
    <w:rsid w:val="4E311FA8"/>
    <w:rsid w:val="4E74636C"/>
    <w:rsid w:val="4EC07803"/>
    <w:rsid w:val="503009B9"/>
    <w:rsid w:val="50834F8C"/>
    <w:rsid w:val="509E5700"/>
    <w:rsid w:val="50AA33A9"/>
    <w:rsid w:val="50AF796D"/>
    <w:rsid w:val="50D456B8"/>
    <w:rsid w:val="513613AB"/>
    <w:rsid w:val="51757285"/>
    <w:rsid w:val="51855C50"/>
    <w:rsid w:val="518D3AA8"/>
    <w:rsid w:val="521C7659"/>
    <w:rsid w:val="52D63A99"/>
    <w:rsid w:val="530323D9"/>
    <w:rsid w:val="53636F81"/>
    <w:rsid w:val="53AC35C3"/>
    <w:rsid w:val="53ED0107"/>
    <w:rsid w:val="54036CC8"/>
    <w:rsid w:val="56494337"/>
    <w:rsid w:val="56A93273"/>
    <w:rsid w:val="57B95737"/>
    <w:rsid w:val="59D24F4B"/>
    <w:rsid w:val="5A5534F6"/>
    <w:rsid w:val="5AB83A84"/>
    <w:rsid w:val="5ADC3248"/>
    <w:rsid w:val="5AEE74A6"/>
    <w:rsid w:val="5AF20E4A"/>
    <w:rsid w:val="5AF81B41"/>
    <w:rsid w:val="5AFF09A6"/>
    <w:rsid w:val="5B2B499B"/>
    <w:rsid w:val="5BCD355F"/>
    <w:rsid w:val="5C4613C0"/>
    <w:rsid w:val="5C564EA4"/>
    <w:rsid w:val="5C666E48"/>
    <w:rsid w:val="5C7A2D4A"/>
    <w:rsid w:val="5D5201C0"/>
    <w:rsid w:val="5E133E89"/>
    <w:rsid w:val="5E3C5D1F"/>
    <w:rsid w:val="5F661D01"/>
    <w:rsid w:val="5F767D2F"/>
    <w:rsid w:val="5FB5B6CD"/>
    <w:rsid w:val="5FFBA79F"/>
    <w:rsid w:val="606036F9"/>
    <w:rsid w:val="606049A2"/>
    <w:rsid w:val="61073070"/>
    <w:rsid w:val="61B80F8A"/>
    <w:rsid w:val="6284156A"/>
    <w:rsid w:val="62AE2359"/>
    <w:rsid w:val="63453D1C"/>
    <w:rsid w:val="64130204"/>
    <w:rsid w:val="64B452BD"/>
    <w:rsid w:val="654323A1"/>
    <w:rsid w:val="657673B5"/>
    <w:rsid w:val="659A2704"/>
    <w:rsid w:val="665C0F18"/>
    <w:rsid w:val="667123FB"/>
    <w:rsid w:val="66D02852"/>
    <w:rsid w:val="66EA4520"/>
    <w:rsid w:val="67FA56DC"/>
    <w:rsid w:val="68046826"/>
    <w:rsid w:val="688F22C8"/>
    <w:rsid w:val="69C53AC8"/>
    <w:rsid w:val="6A331379"/>
    <w:rsid w:val="6B9D4CFC"/>
    <w:rsid w:val="6BB65DBE"/>
    <w:rsid w:val="6BFABC12"/>
    <w:rsid w:val="6C605FED"/>
    <w:rsid w:val="6D073968"/>
    <w:rsid w:val="6E500698"/>
    <w:rsid w:val="6E560347"/>
    <w:rsid w:val="6E573888"/>
    <w:rsid w:val="6EC9405A"/>
    <w:rsid w:val="6EDA23C3"/>
    <w:rsid w:val="6F4C4357"/>
    <w:rsid w:val="6F643973"/>
    <w:rsid w:val="6F745D74"/>
    <w:rsid w:val="712A66AD"/>
    <w:rsid w:val="719F16DB"/>
    <w:rsid w:val="71C01745"/>
    <w:rsid w:val="72E57013"/>
    <w:rsid w:val="73E23AB8"/>
    <w:rsid w:val="746F7452"/>
    <w:rsid w:val="75410DEE"/>
    <w:rsid w:val="75BC4A46"/>
    <w:rsid w:val="76352751"/>
    <w:rsid w:val="769969A4"/>
    <w:rsid w:val="77EE38E6"/>
    <w:rsid w:val="782A5B6A"/>
    <w:rsid w:val="787A2EB6"/>
    <w:rsid w:val="78913050"/>
    <w:rsid w:val="789F0582"/>
    <w:rsid w:val="78DE6954"/>
    <w:rsid w:val="790B1F9E"/>
    <w:rsid w:val="79A27982"/>
    <w:rsid w:val="7A0027B8"/>
    <w:rsid w:val="7A0932A3"/>
    <w:rsid w:val="7AC878BC"/>
    <w:rsid w:val="7AFCFF2F"/>
    <w:rsid w:val="7B821B67"/>
    <w:rsid w:val="7BCC6F38"/>
    <w:rsid w:val="7BE73D72"/>
    <w:rsid w:val="7CF336D2"/>
    <w:rsid w:val="7D283C72"/>
    <w:rsid w:val="7D871368"/>
    <w:rsid w:val="7D8C0B8C"/>
    <w:rsid w:val="7DCC6CD8"/>
    <w:rsid w:val="7E2547CF"/>
    <w:rsid w:val="7F45772D"/>
    <w:rsid w:val="7F98785D"/>
    <w:rsid w:val="7FFF5B2E"/>
    <w:rsid w:val="B0BFA4A2"/>
    <w:rsid w:val="BABF5815"/>
    <w:rsid w:val="BEF7C091"/>
    <w:rsid w:val="BFDF831C"/>
    <w:rsid w:val="C1D0AD3E"/>
    <w:rsid w:val="CBCAE991"/>
    <w:rsid w:val="D525F6BC"/>
    <w:rsid w:val="DB6BD279"/>
    <w:rsid w:val="DFFEF7DC"/>
    <w:rsid w:val="EBEBEB46"/>
    <w:rsid w:val="EDFF7D5B"/>
    <w:rsid w:val="EFFC9DB9"/>
    <w:rsid w:val="F3DF04B9"/>
    <w:rsid w:val="F6D7145A"/>
    <w:rsid w:val="F72F1978"/>
    <w:rsid w:val="F77EEAD3"/>
    <w:rsid w:val="FBD71E75"/>
    <w:rsid w:val="FDF8CAB3"/>
    <w:rsid w:val="FE7FEA57"/>
    <w:rsid w:val="FF5D4DBD"/>
    <w:rsid w:val="FF6FE3CC"/>
    <w:rsid w:val="FF9C0192"/>
    <w:rsid w:val="FFFC8CFF"/>
    <w:rsid w:val="FFFEC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3">
    <w:name w:val="heading 3"/>
    <w:basedOn w:val="1"/>
    <w:next w:val="1"/>
    <w:unhideWhenUsed/>
    <w:qFormat/>
    <w:uiPriority w:val="0"/>
    <w:pPr>
      <w:keepNext/>
      <w:keepLines/>
      <w:spacing w:line="413" w:lineRule="auto"/>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Plain Text"/>
    <w:basedOn w:val="1"/>
    <w:unhideWhenUsed/>
    <w:qFormat/>
    <w:uiPriority w:val="99"/>
    <w:rPr>
      <w:rFonts w:ascii="宋体" w:hAnsi="Courier New"/>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rPr>
      <w:rFonts w:eastAsia="宋体"/>
      <w:szCs w:val="22"/>
    </w:rPr>
  </w:style>
  <w:style w:type="paragraph" w:customStyle="1" w:styleId="14">
    <w:name w:val="列出段落1"/>
    <w:basedOn w:val="1"/>
    <w:qFormat/>
    <w:uiPriority w:val="99"/>
    <w:pPr>
      <w:widowControl/>
      <w:ind w:firstLine="420" w:firstLineChars="200"/>
      <w:jc w:val="left"/>
    </w:pPr>
    <w:rPr>
      <w:rFonts w:ascii="宋体" w:hAnsi="宋体" w:cs="宋体"/>
      <w:sz w:val="24"/>
    </w:rPr>
  </w:style>
  <w:style w:type="character" w:customStyle="1" w:styleId="15">
    <w:name w:val="页脚 Char"/>
    <w:basedOn w:val="12"/>
    <w:link w:val="6"/>
    <w:qFormat/>
    <w:uiPriority w:val="99"/>
    <w:rPr>
      <w:rFonts w:ascii="Calibri" w:hAnsi="Calibri" w:eastAsia="仿宋_GB2312"/>
      <w:kern w:val="2"/>
      <w:sz w:val="18"/>
    </w:rPr>
  </w:style>
  <w:style w:type="character" w:customStyle="1" w:styleId="16">
    <w:name w:val="批注框文本 Char"/>
    <w:basedOn w:val="12"/>
    <w:link w:val="5"/>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1688</Words>
  <Characters>9625</Characters>
  <Lines>80</Lines>
  <Paragraphs>22</Paragraphs>
  <TotalTime>55</TotalTime>
  <ScaleCrop>false</ScaleCrop>
  <LinksUpToDate>false</LinksUpToDate>
  <CharactersWithSpaces>11291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2021-03-22T00:47:00Z</dcterms:created>
  <dc:creator>Administrator</dc:creator>
  <cp:lastModifiedBy>kylin</cp:lastModifiedBy>
  <cp:lastPrinted>2024-05-24T09:33:00Z</cp:lastPrinted>
  <dcterms:modified xsi:type="dcterms:W3CDTF">2025-08-08T12:02:30Z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A81A937BB0C54E3A9A924CAB49C396BD</vt:lpwstr>
  </property>
  <property fmtid="{D5CDD505-2E9C-101B-9397-08002B2CF9AE}" pid="4" name="commondata">
    <vt:lpwstr>eyJoZGlkIjoiYzU5ZjUwNzQ5ZDY2NWZhZDE1MDI1NjFmMWFkYTViNGIifQ==</vt:lpwstr>
  </property>
</Properties>
</file>